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C1355" w14:textId="6A731230" w:rsidR="00C63289" w:rsidRPr="00AD7B96" w:rsidRDefault="00A34454" w:rsidP="00BC476A">
      <w:pPr>
        <w:spacing w:after="0" w:line="360" w:lineRule="auto"/>
        <w:jc w:val="center"/>
        <w:rPr>
          <w:rFonts w:cstheme="minorHAnsi"/>
          <w:b/>
          <w:bCs/>
          <w:color w:val="92D050"/>
        </w:rPr>
      </w:pPr>
      <w:r w:rsidRPr="00AD7B96">
        <w:rPr>
          <w:rFonts w:cstheme="minorHAnsi"/>
          <w:b/>
          <w:bCs/>
          <w:color w:val="92D050"/>
        </w:rPr>
        <w:t xml:space="preserve">Réponses </w:t>
      </w:r>
      <w:r w:rsidR="00E86EB4">
        <w:rPr>
          <w:rFonts w:cstheme="minorHAnsi"/>
          <w:b/>
          <w:bCs/>
          <w:color w:val="92D050"/>
        </w:rPr>
        <w:t xml:space="preserve">à des questions de candidats AAP </w:t>
      </w:r>
      <w:r w:rsidRPr="00AD7B96">
        <w:rPr>
          <w:rFonts w:cstheme="minorHAnsi"/>
          <w:b/>
          <w:bCs/>
          <w:color w:val="92D050"/>
        </w:rPr>
        <w:t>ISDND</w:t>
      </w:r>
      <w:r w:rsidR="00E86EB4">
        <w:rPr>
          <w:rFonts w:cstheme="minorHAnsi"/>
          <w:b/>
          <w:bCs/>
          <w:color w:val="92D050"/>
        </w:rPr>
        <w:t xml:space="preserve"> </w:t>
      </w:r>
      <w:proofErr w:type="spellStart"/>
      <w:r w:rsidR="00E86EB4">
        <w:rPr>
          <w:rFonts w:cstheme="minorHAnsi"/>
          <w:b/>
          <w:bCs/>
          <w:color w:val="92D050"/>
        </w:rPr>
        <w:t>Septèmes</w:t>
      </w:r>
      <w:proofErr w:type="spellEnd"/>
    </w:p>
    <w:p w14:paraId="2AA1C69E" w14:textId="1B4D5459" w:rsidR="00A34454" w:rsidRPr="00AD7B96" w:rsidRDefault="00A34454" w:rsidP="00BC476A">
      <w:pPr>
        <w:spacing w:after="0" w:line="360" w:lineRule="auto"/>
        <w:jc w:val="both"/>
        <w:rPr>
          <w:rFonts w:cstheme="minorHAnsi"/>
          <w:b/>
          <w:bCs/>
          <w:color w:val="92D050"/>
        </w:rPr>
      </w:pPr>
    </w:p>
    <w:p w14:paraId="270C6D1C" w14:textId="43F0D5F4" w:rsidR="00507AC5" w:rsidRPr="0087224D" w:rsidRDefault="00507AC5" w:rsidP="00BC476A">
      <w:pPr>
        <w:pStyle w:val="xmsolistparagraph"/>
        <w:numPr>
          <w:ilvl w:val="0"/>
          <w:numId w:val="1"/>
        </w:numPr>
        <w:shd w:val="clear" w:color="auto" w:fill="FFFFFF"/>
        <w:spacing w:before="0" w:beforeAutospacing="0" w:after="0" w:afterAutospacing="0" w:line="360" w:lineRule="auto"/>
        <w:jc w:val="both"/>
        <w:rPr>
          <w:rFonts w:asciiTheme="minorHAnsi" w:hAnsiTheme="minorHAnsi" w:cstheme="minorHAnsi"/>
          <w:b/>
          <w:color w:val="242424"/>
          <w:sz w:val="22"/>
          <w:szCs w:val="22"/>
        </w:rPr>
      </w:pPr>
      <w:r w:rsidRPr="00AD7B96">
        <w:rPr>
          <w:rFonts w:asciiTheme="minorHAnsi" w:hAnsiTheme="minorHAnsi" w:cstheme="minorHAnsi"/>
          <w:color w:val="242424"/>
          <w:sz w:val="22"/>
          <w:szCs w:val="22"/>
        </w:rPr>
        <w:t>Serait-il possible de disposer du plan « vue aérienne et délimitation maximale de l’emprise foncière du projet de la Grande Colle » en meilleure qualité ?</w:t>
      </w:r>
      <w:r w:rsidR="0087224D">
        <w:rPr>
          <w:rFonts w:asciiTheme="minorHAnsi" w:hAnsiTheme="minorHAnsi" w:cstheme="minorHAnsi"/>
          <w:color w:val="242424"/>
          <w:sz w:val="22"/>
          <w:szCs w:val="22"/>
        </w:rPr>
        <w:t xml:space="preserve"> </w:t>
      </w:r>
      <w:r w:rsidR="0087224D" w:rsidRPr="0087224D">
        <w:rPr>
          <w:rFonts w:asciiTheme="minorHAnsi" w:hAnsiTheme="minorHAnsi" w:cstheme="minorHAnsi"/>
          <w:b/>
          <w:color w:val="ED7D31" w:themeColor="accent2"/>
          <w:sz w:val="22"/>
          <w:szCs w:val="22"/>
        </w:rPr>
        <w:t>–</w:t>
      </w:r>
      <w:r w:rsidR="001A21B8">
        <w:rPr>
          <w:rFonts w:asciiTheme="minorHAnsi" w:hAnsiTheme="minorHAnsi" w:cstheme="minorHAnsi"/>
          <w:b/>
          <w:color w:val="ED7D31" w:themeColor="accent2"/>
          <w:sz w:val="22"/>
          <w:szCs w:val="22"/>
        </w:rPr>
        <w:t>L</w:t>
      </w:r>
      <w:r w:rsidR="0087224D" w:rsidRPr="0087224D">
        <w:rPr>
          <w:rFonts w:asciiTheme="minorHAnsi" w:hAnsiTheme="minorHAnsi" w:cstheme="minorHAnsi"/>
          <w:b/>
          <w:color w:val="ED7D31" w:themeColor="accent2"/>
          <w:sz w:val="22"/>
          <w:szCs w:val="22"/>
        </w:rPr>
        <w:t>e plan topographique du site</w:t>
      </w:r>
      <w:r w:rsidR="001A21B8">
        <w:rPr>
          <w:rFonts w:asciiTheme="minorHAnsi" w:hAnsiTheme="minorHAnsi" w:cstheme="minorHAnsi"/>
          <w:b/>
          <w:color w:val="ED7D31" w:themeColor="accent2"/>
          <w:sz w:val="22"/>
          <w:szCs w:val="22"/>
        </w:rPr>
        <w:t xml:space="preserve"> est transmis en PJ </w:t>
      </w:r>
    </w:p>
    <w:p w14:paraId="22C2985A" w14:textId="6501A140" w:rsidR="00507AC5" w:rsidRPr="00AD7B96" w:rsidRDefault="00507AC5" w:rsidP="00BC476A">
      <w:pPr>
        <w:pStyle w:val="xmsolistparagraph"/>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rPr>
      </w:pPr>
      <w:r w:rsidRPr="00AD7B96">
        <w:rPr>
          <w:rFonts w:asciiTheme="minorHAnsi" w:hAnsiTheme="minorHAnsi" w:cstheme="minorHAnsi"/>
          <w:color w:val="242424"/>
          <w:sz w:val="22"/>
          <w:szCs w:val="22"/>
        </w:rPr>
        <w:t>Serait-il possible de préciser, au sein de la parcelle A1390, les zones qui resteront en exploitation par la décharge, et celles qui pourraient être valorisées par des panneaux photovoltaïques ?</w:t>
      </w:r>
    </w:p>
    <w:p w14:paraId="1997B67F" w14:textId="77777777" w:rsidR="00CE0180" w:rsidRPr="00AD7B96" w:rsidRDefault="00CE0180" w:rsidP="00BC476A">
      <w:pPr>
        <w:pStyle w:val="xmsolistparagraph"/>
        <w:shd w:val="clear" w:color="auto" w:fill="FFFFFF"/>
        <w:spacing w:before="0" w:beforeAutospacing="0" w:after="0" w:afterAutospacing="0" w:line="360" w:lineRule="auto"/>
        <w:ind w:left="360"/>
        <w:jc w:val="both"/>
        <w:rPr>
          <w:rFonts w:asciiTheme="minorHAnsi" w:hAnsiTheme="minorHAnsi" w:cstheme="minorHAnsi"/>
          <w:color w:val="6FC040"/>
          <w:sz w:val="22"/>
          <w:szCs w:val="22"/>
          <w:shd w:val="clear" w:color="auto" w:fill="FFFFFF"/>
        </w:rPr>
      </w:pPr>
      <w:r w:rsidRPr="00AD7B96">
        <w:rPr>
          <w:rFonts w:asciiTheme="minorHAnsi" w:hAnsiTheme="minorHAnsi" w:cstheme="minorHAnsi"/>
          <w:b/>
          <w:bCs/>
          <w:color w:val="ED7D31" w:themeColor="accent2"/>
          <w:sz w:val="22"/>
          <w:szCs w:val="22"/>
          <w:shd w:val="clear" w:color="auto" w:fill="FFFFFF"/>
        </w:rPr>
        <w:t>Ce point sera clairement défini lors de la visite de site du 31 mars et/ou du 21 avril.</w:t>
      </w:r>
      <w:r w:rsidRPr="00AD7B96">
        <w:rPr>
          <w:rFonts w:asciiTheme="minorHAnsi" w:hAnsiTheme="minorHAnsi" w:cstheme="minorHAnsi"/>
          <w:color w:val="ED7D31" w:themeColor="accent2"/>
          <w:sz w:val="22"/>
          <w:szCs w:val="22"/>
          <w:shd w:val="clear" w:color="auto" w:fill="FFFFFF"/>
        </w:rPr>
        <w:t xml:space="preserve"> </w:t>
      </w:r>
    </w:p>
    <w:p w14:paraId="1E5B6B9F" w14:textId="064DDD41" w:rsidR="00507AC5" w:rsidRPr="00AD7B96" w:rsidRDefault="00507AC5" w:rsidP="00BC476A">
      <w:pPr>
        <w:pStyle w:val="xmsolistparagraph"/>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rPr>
      </w:pPr>
      <w:r w:rsidRPr="00AD7B96">
        <w:rPr>
          <w:rFonts w:asciiTheme="minorHAnsi" w:hAnsiTheme="minorHAnsi" w:cstheme="minorHAnsi"/>
          <w:color w:val="242424"/>
          <w:sz w:val="22"/>
          <w:szCs w:val="22"/>
          <w:bdr w:val="none" w:sz="0" w:space="0" w:color="auto" w:frame="1"/>
        </w:rPr>
        <w:t>Lors d’échanges antérieurs avec la Mairie, il était question de la création d’un bassin de 14 000m3 au sud du site, à proximité du bassin lixiviats 4 pour les besoins d’exploitation de la décharge. Sauf erreur, nous ne le voyons pas sur le plan. Pouvez-vous confirmer que cet ouvrage n’est plus d’actualité ?</w:t>
      </w:r>
      <w:r w:rsidR="0087224D">
        <w:rPr>
          <w:rFonts w:asciiTheme="minorHAnsi" w:hAnsiTheme="minorHAnsi" w:cstheme="minorHAnsi"/>
          <w:color w:val="242424"/>
          <w:sz w:val="22"/>
          <w:szCs w:val="22"/>
          <w:bdr w:val="none" w:sz="0" w:space="0" w:color="auto" w:frame="1"/>
        </w:rPr>
        <w:t xml:space="preserve"> </w:t>
      </w:r>
      <w:r w:rsidR="0087224D" w:rsidRPr="0087224D">
        <w:rPr>
          <w:rFonts w:asciiTheme="minorHAnsi" w:hAnsiTheme="minorHAnsi" w:cstheme="minorHAnsi"/>
          <w:b/>
          <w:color w:val="ED7D31" w:themeColor="accent2"/>
          <w:sz w:val="22"/>
          <w:szCs w:val="22"/>
          <w:bdr w:val="none" w:sz="0" w:space="0" w:color="auto" w:frame="1"/>
        </w:rPr>
        <w:t xml:space="preserve">– </w:t>
      </w:r>
      <w:r w:rsidR="001A21B8">
        <w:rPr>
          <w:rFonts w:asciiTheme="minorHAnsi" w:hAnsiTheme="minorHAnsi" w:cstheme="minorHAnsi"/>
          <w:b/>
          <w:color w:val="ED7D31" w:themeColor="accent2"/>
          <w:sz w:val="22"/>
          <w:szCs w:val="22"/>
          <w:bdr w:val="none" w:sz="0" w:space="0" w:color="auto" w:frame="1"/>
        </w:rPr>
        <w:t>L</w:t>
      </w:r>
      <w:r w:rsidR="0087224D" w:rsidRPr="0087224D">
        <w:rPr>
          <w:rFonts w:asciiTheme="minorHAnsi" w:hAnsiTheme="minorHAnsi" w:cstheme="minorHAnsi"/>
          <w:b/>
          <w:color w:val="ED7D31" w:themeColor="accent2"/>
          <w:sz w:val="22"/>
          <w:szCs w:val="22"/>
          <w:bdr w:val="none" w:sz="0" w:space="0" w:color="auto" w:frame="1"/>
        </w:rPr>
        <w:t>e plan</w:t>
      </w:r>
      <w:r w:rsidR="0087224D">
        <w:rPr>
          <w:rFonts w:asciiTheme="minorHAnsi" w:hAnsiTheme="minorHAnsi" w:cstheme="minorHAnsi"/>
          <w:b/>
          <w:color w:val="ED7D31" w:themeColor="accent2"/>
          <w:sz w:val="22"/>
          <w:szCs w:val="22"/>
          <w:bdr w:val="none" w:sz="0" w:space="0" w:color="auto" w:frame="1"/>
        </w:rPr>
        <w:t xml:space="preserve"> projet </w:t>
      </w:r>
      <w:r w:rsidR="0087224D" w:rsidRPr="0087224D">
        <w:rPr>
          <w:rFonts w:asciiTheme="minorHAnsi" w:hAnsiTheme="minorHAnsi" w:cstheme="minorHAnsi"/>
          <w:b/>
          <w:color w:val="ED7D31" w:themeColor="accent2"/>
          <w:sz w:val="22"/>
          <w:szCs w:val="22"/>
          <w:bdr w:val="none" w:sz="0" w:space="0" w:color="auto" w:frame="1"/>
        </w:rPr>
        <w:t>du bassin qui est a réalisé</w:t>
      </w:r>
      <w:r w:rsidR="001A21B8">
        <w:rPr>
          <w:rFonts w:asciiTheme="minorHAnsi" w:hAnsiTheme="minorHAnsi" w:cstheme="minorHAnsi"/>
          <w:b/>
          <w:color w:val="ED7D31" w:themeColor="accent2"/>
          <w:sz w:val="22"/>
          <w:szCs w:val="22"/>
          <w:bdr w:val="none" w:sz="0" w:space="0" w:color="auto" w:frame="1"/>
        </w:rPr>
        <w:t xml:space="preserve"> est transmis en PJ.</w:t>
      </w:r>
    </w:p>
    <w:p w14:paraId="343C6BB5" w14:textId="62FA1D76" w:rsidR="00507AC5" w:rsidRPr="00AD7B96" w:rsidRDefault="00507AC5" w:rsidP="00BC476A">
      <w:pPr>
        <w:pStyle w:val="xmsonormal"/>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rPr>
      </w:pPr>
      <w:r w:rsidRPr="00AD7B96">
        <w:rPr>
          <w:rFonts w:asciiTheme="minorHAnsi" w:hAnsiTheme="minorHAnsi" w:cstheme="minorHAnsi"/>
          <w:color w:val="242424"/>
          <w:sz w:val="22"/>
          <w:szCs w:val="22"/>
          <w:bdr w:val="none" w:sz="0" w:space="0" w:color="auto" w:frame="1"/>
        </w:rPr>
        <w:t>Il est mentionné en page 6 – paragraphe 1.2 le « respect de certaines prescriptions issues des SUP de post exploitation ». Pouvez-vous préciser ? Serait-il possible de disposer du plan de réhabilitation de la décharge par Véolia ?</w:t>
      </w:r>
    </w:p>
    <w:p w14:paraId="2447F243" w14:textId="0305FAA7" w:rsidR="00CE0180" w:rsidRPr="00AD7B96" w:rsidRDefault="00B768D9" w:rsidP="00BC476A">
      <w:pPr>
        <w:pStyle w:val="xmsonormal"/>
        <w:shd w:val="clear" w:color="auto" w:fill="FFFFFF"/>
        <w:spacing w:before="0" w:beforeAutospacing="0" w:after="0" w:afterAutospacing="0" w:line="360" w:lineRule="auto"/>
        <w:jc w:val="both"/>
        <w:rPr>
          <w:rFonts w:asciiTheme="minorHAnsi" w:hAnsiTheme="minorHAnsi" w:cstheme="minorHAnsi"/>
          <w:b/>
          <w:bCs/>
          <w:color w:val="ED7D31" w:themeColor="accent2"/>
          <w:sz w:val="22"/>
          <w:szCs w:val="22"/>
          <w:shd w:val="clear" w:color="auto" w:fill="FFFFFF"/>
        </w:rPr>
      </w:pPr>
      <w:r w:rsidRPr="00AD7B96">
        <w:rPr>
          <w:rFonts w:asciiTheme="minorHAnsi" w:hAnsiTheme="minorHAnsi" w:cstheme="minorHAnsi"/>
          <w:b/>
          <w:bCs/>
          <w:color w:val="ED7D31" w:themeColor="accent2"/>
          <w:sz w:val="22"/>
          <w:szCs w:val="22"/>
          <w:shd w:val="clear" w:color="auto" w:fill="FFFFFF"/>
        </w:rPr>
        <w:t>La préfecture doit produire un arrêté de SUP pour le suivi des zones en poste exploitation.</w:t>
      </w:r>
      <w:r w:rsidR="00CE0180" w:rsidRPr="00AD7B96">
        <w:rPr>
          <w:rFonts w:asciiTheme="minorHAnsi" w:hAnsiTheme="minorHAnsi" w:cstheme="minorHAnsi"/>
          <w:b/>
          <w:bCs/>
          <w:color w:val="ED7D31" w:themeColor="accent2"/>
          <w:sz w:val="22"/>
          <w:szCs w:val="22"/>
          <w:shd w:val="clear" w:color="auto" w:fill="FFFFFF"/>
        </w:rPr>
        <w:t xml:space="preserve"> A l’heure actuelle nous n’avons</w:t>
      </w:r>
      <w:r w:rsidR="001A21B8">
        <w:rPr>
          <w:rFonts w:asciiTheme="minorHAnsi" w:hAnsiTheme="minorHAnsi" w:cstheme="minorHAnsi"/>
          <w:b/>
          <w:bCs/>
          <w:color w:val="ED7D31" w:themeColor="accent2"/>
          <w:sz w:val="22"/>
          <w:szCs w:val="22"/>
          <w:shd w:val="clear" w:color="auto" w:fill="FFFFFF"/>
        </w:rPr>
        <w:t xml:space="preserve"> </w:t>
      </w:r>
      <w:r w:rsidR="00CE0180" w:rsidRPr="00AD7B96">
        <w:rPr>
          <w:rFonts w:asciiTheme="minorHAnsi" w:hAnsiTheme="minorHAnsi" w:cstheme="minorHAnsi"/>
          <w:b/>
          <w:bCs/>
          <w:color w:val="ED7D31" w:themeColor="accent2"/>
          <w:sz w:val="22"/>
          <w:szCs w:val="22"/>
          <w:shd w:val="clear" w:color="auto" w:fill="FFFFFF"/>
        </w:rPr>
        <w:t xml:space="preserve">pas </w:t>
      </w:r>
      <w:r w:rsidR="001A21B8">
        <w:rPr>
          <w:rFonts w:asciiTheme="minorHAnsi" w:hAnsiTheme="minorHAnsi" w:cstheme="minorHAnsi"/>
          <w:b/>
          <w:bCs/>
          <w:color w:val="ED7D31" w:themeColor="accent2"/>
          <w:sz w:val="22"/>
          <w:szCs w:val="22"/>
          <w:shd w:val="clear" w:color="auto" w:fill="FFFFFF"/>
        </w:rPr>
        <w:t xml:space="preserve">été destinataire de </w:t>
      </w:r>
      <w:r w:rsidR="00CE0180" w:rsidRPr="00AD7B96">
        <w:rPr>
          <w:rFonts w:asciiTheme="minorHAnsi" w:hAnsiTheme="minorHAnsi" w:cstheme="minorHAnsi"/>
          <w:b/>
          <w:bCs/>
          <w:color w:val="ED7D31" w:themeColor="accent2"/>
          <w:sz w:val="22"/>
          <w:szCs w:val="22"/>
          <w:shd w:val="clear" w:color="auto" w:fill="FFFFFF"/>
        </w:rPr>
        <w:t>l’arrêté.</w:t>
      </w:r>
      <w:r w:rsidRPr="00AD7B96">
        <w:rPr>
          <w:rFonts w:asciiTheme="minorHAnsi" w:hAnsiTheme="minorHAnsi" w:cstheme="minorHAnsi"/>
          <w:b/>
          <w:bCs/>
          <w:color w:val="ED7D31" w:themeColor="accent2"/>
          <w:sz w:val="22"/>
          <w:szCs w:val="22"/>
          <w:shd w:val="clear" w:color="auto" w:fill="FFFFFF"/>
        </w:rPr>
        <w:t xml:space="preserve"> Le projet </w:t>
      </w:r>
      <w:r w:rsidR="00CE0180" w:rsidRPr="00AD7B96">
        <w:rPr>
          <w:rFonts w:asciiTheme="minorHAnsi" w:hAnsiTheme="minorHAnsi" w:cstheme="minorHAnsi"/>
          <w:b/>
          <w:bCs/>
          <w:color w:val="ED7D31" w:themeColor="accent2"/>
          <w:sz w:val="22"/>
          <w:szCs w:val="22"/>
          <w:shd w:val="clear" w:color="auto" w:fill="FFFFFF"/>
        </w:rPr>
        <w:t xml:space="preserve">Photovoltaïque </w:t>
      </w:r>
      <w:r w:rsidRPr="00AD7B96">
        <w:rPr>
          <w:rFonts w:asciiTheme="minorHAnsi" w:hAnsiTheme="minorHAnsi" w:cstheme="minorHAnsi"/>
          <w:b/>
          <w:bCs/>
          <w:color w:val="ED7D31" w:themeColor="accent2"/>
          <w:sz w:val="22"/>
          <w:szCs w:val="22"/>
          <w:shd w:val="clear" w:color="auto" w:fill="FFFFFF"/>
        </w:rPr>
        <w:t>devra s'adapter aux éventuels points de mesure et/ou autres dispositions imposées par l'arrêté</w:t>
      </w:r>
      <w:r w:rsidR="00CE0180" w:rsidRPr="00AD7B96">
        <w:rPr>
          <w:rFonts w:asciiTheme="minorHAnsi" w:hAnsiTheme="minorHAnsi" w:cstheme="minorHAnsi"/>
          <w:b/>
          <w:bCs/>
          <w:color w:val="ED7D31" w:themeColor="accent2"/>
          <w:sz w:val="22"/>
          <w:szCs w:val="22"/>
          <w:shd w:val="clear" w:color="auto" w:fill="FFFFFF"/>
        </w:rPr>
        <w:t xml:space="preserve"> préfectoral</w:t>
      </w:r>
      <w:r w:rsidRPr="00AD7B96">
        <w:rPr>
          <w:rFonts w:asciiTheme="minorHAnsi" w:hAnsiTheme="minorHAnsi" w:cstheme="minorHAnsi"/>
          <w:b/>
          <w:bCs/>
          <w:color w:val="ED7D31" w:themeColor="accent2"/>
          <w:sz w:val="22"/>
          <w:szCs w:val="22"/>
          <w:shd w:val="clear" w:color="auto" w:fill="FFFFFF"/>
        </w:rPr>
        <w:t>. </w:t>
      </w:r>
    </w:p>
    <w:p w14:paraId="304926D6" w14:textId="63F0982B" w:rsidR="00B768D9" w:rsidRPr="00AD7B96" w:rsidRDefault="00CE0180" w:rsidP="00BC476A">
      <w:pPr>
        <w:pStyle w:val="xmsonormal"/>
        <w:shd w:val="clear" w:color="auto" w:fill="FFFFFF"/>
        <w:spacing w:before="0" w:beforeAutospacing="0" w:after="0" w:afterAutospacing="0" w:line="360" w:lineRule="auto"/>
        <w:ind w:left="360"/>
        <w:jc w:val="both"/>
        <w:rPr>
          <w:rFonts w:asciiTheme="minorHAnsi" w:hAnsiTheme="minorHAnsi" w:cstheme="minorHAnsi"/>
          <w:b/>
          <w:bCs/>
          <w:color w:val="ED7D31" w:themeColor="accent2"/>
          <w:sz w:val="22"/>
          <w:szCs w:val="22"/>
          <w:shd w:val="clear" w:color="auto" w:fill="FFFFFF"/>
        </w:rPr>
      </w:pPr>
      <w:r w:rsidRPr="00AD7B96">
        <w:rPr>
          <w:rFonts w:asciiTheme="minorHAnsi" w:hAnsiTheme="minorHAnsi" w:cstheme="minorHAnsi"/>
          <w:b/>
          <w:bCs/>
          <w:color w:val="ED7D31" w:themeColor="accent2"/>
          <w:sz w:val="22"/>
          <w:szCs w:val="22"/>
          <w:shd w:val="clear" w:color="auto" w:fill="FFFFFF"/>
        </w:rPr>
        <w:t>Si nécessaire la Commune peut fournir l</w:t>
      </w:r>
      <w:r w:rsidR="00B768D9" w:rsidRPr="00AD7B96">
        <w:rPr>
          <w:rFonts w:asciiTheme="minorHAnsi" w:hAnsiTheme="minorHAnsi" w:cstheme="minorHAnsi"/>
          <w:b/>
          <w:bCs/>
          <w:color w:val="ED7D31" w:themeColor="accent2"/>
          <w:sz w:val="22"/>
          <w:szCs w:val="22"/>
          <w:shd w:val="clear" w:color="auto" w:fill="FFFFFF"/>
        </w:rPr>
        <w:t xml:space="preserve">e plan du site en </w:t>
      </w:r>
      <w:r w:rsidRPr="00AD7B96">
        <w:rPr>
          <w:rFonts w:asciiTheme="minorHAnsi" w:hAnsiTheme="minorHAnsi" w:cstheme="minorHAnsi"/>
          <w:b/>
          <w:bCs/>
          <w:color w:val="ED7D31" w:themeColor="accent2"/>
          <w:sz w:val="22"/>
          <w:szCs w:val="22"/>
          <w:shd w:val="clear" w:color="auto" w:fill="FFFFFF"/>
        </w:rPr>
        <w:t>DWG.</w:t>
      </w:r>
      <w:r w:rsidR="00B768D9" w:rsidRPr="00AD7B96">
        <w:rPr>
          <w:rFonts w:asciiTheme="minorHAnsi" w:hAnsiTheme="minorHAnsi" w:cstheme="minorHAnsi"/>
          <w:b/>
          <w:bCs/>
          <w:color w:val="ED7D31" w:themeColor="accent2"/>
          <w:sz w:val="22"/>
          <w:szCs w:val="22"/>
          <w:shd w:val="clear" w:color="auto" w:fill="FFFFFF"/>
        </w:rPr>
        <w:t> </w:t>
      </w:r>
    </w:p>
    <w:p w14:paraId="0CFCDA65" w14:textId="06619E44" w:rsidR="00507AC5" w:rsidRPr="00AD7B96" w:rsidRDefault="00507AC5" w:rsidP="00BC476A">
      <w:pPr>
        <w:pStyle w:val="xmsonormal"/>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rPr>
      </w:pPr>
      <w:r w:rsidRPr="00AD7B96">
        <w:rPr>
          <w:rFonts w:asciiTheme="minorHAnsi" w:hAnsiTheme="minorHAnsi" w:cstheme="minorHAnsi"/>
          <w:color w:val="242424"/>
          <w:sz w:val="22"/>
          <w:szCs w:val="22"/>
          <w:bdr w:val="none" w:sz="0" w:space="0" w:color="auto" w:frame="1"/>
        </w:rPr>
        <w:t>Il est mentionné en page 6 – paragraphe 1.4 que « Veolia a besoin d’avoir des servitudes pour l’entretien de post-exploitation : réseaux de gaz et la gestion de l’eau ». Serait-il possible de préciser quelles sont ces servitudes et de les localiser ?</w:t>
      </w:r>
    </w:p>
    <w:p w14:paraId="62C9F36F" w14:textId="2B4052CC" w:rsidR="00461C89" w:rsidRPr="00AD7B96" w:rsidRDefault="00461C89" w:rsidP="00BC476A">
      <w:pPr>
        <w:pStyle w:val="xmsonormal"/>
        <w:shd w:val="clear" w:color="auto" w:fill="FFFFFF"/>
        <w:spacing w:before="0" w:beforeAutospacing="0" w:after="0" w:afterAutospacing="0" w:line="360" w:lineRule="auto"/>
        <w:jc w:val="both"/>
        <w:rPr>
          <w:rFonts w:asciiTheme="minorHAnsi" w:hAnsiTheme="minorHAnsi" w:cstheme="minorHAnsi"/>
          <w:b/>
          <w:bCs/>
          <w:color w:val="ED7D31" w:themeColor="accent2"/>
          <w:sz w:val="22"/>
          <w:szCs w:val="22"/>
          <w:shd w:val="clear" w:color="auto" w:fill="FFFFFF"/>
        </w:rPr>
      </w:pPr>
      <w:r w:rsidRPr="00AD7B96">
        <w:rPr>
          <w:rFonts w:asciiTheme="minorHAnsi" w:hAnsiTheme="minorHAnsi" w:cstheme="minorHAnsi"/>
          <w:b/>
          <w:bCs/>
          <w:color w:val="ED7D31" w:themeColor="accent2"/>
          <w:sz w:val="22"/>
          <w:szCs w:val="22"/>
          <w:shd w:val="clear" w:color="auto" w:fill="FFFFFF"/>
        </w:rPr>
        <w:t>Vous trouverez dans</w:t>
      </w:r>
      <w:r w:rsidR="00B768D9" w:rsidRPr="00AD7B96">
        <w:rPr>
          <w:rFonts w:asciiTheme="minorHAnsi" w:hAnsiTheme="minorHAnsi" w:cstheme="minorHAnsi"/>
          <w:b/>
          <w:bCs/>
          <w:color w:val="ED7D31" w:themeColor="accent2"/>
          <w:sz w:val="22"/>
          <w:szCs w:val="22"/>
          <w:shd w:val="clear" w:color="auto" w:fill="FFFFFF"/>
        </w:rPr>
        <w:t xml:space="preserve"> le document </w:t>
      </w:r>
      <w:r w:rsidRPr="00AD7B96">
        <w:rPr>
          <w:rFonts w:asciiTheme="minorHAnsi" w:hAnsiTheme="minorHAnsi" w:cstheme="minorHAnsi"/>
          <w:b/>
          <w:bCs/>
          <w:color w:val="ED7D31" w:themeColor="accent2"/>
          <w:sz w:val="22"/>
          <w:szCs w:val="22"/>
          <w:shd w:val="clear" w:color="auto" w:fill="FFFFFF"/>
        </w:rPr>
        <w:t>joint (Demande d’autorisation environnementale pour la poursuite d’exploitation – l’Eco pole de l’étoile)</w:t>
      </w:r>
      <w:r w:rsidR="00B768D9" w:rsidRPr="00AD7B96">
        <w:rPr>
          <w:rFonts w:asciiTheme="minorHAnsi" w:hAnsiTheme="minorHAnsi" w:cstheme="minorHAnsi"/>
          <w:b/>
          <w:bCs/>
          <w:color w:val="ED7D31" w:themeColor="accent2"/>
          <w:sz w:val="22"/>
          <w:szCs w:val="22"/>
          <w:shd w:val="clear" w:color="auto" w:fill="FFFFFF"/>
        </w:rPr>
        <w:t xml:space="preserve">, </w:t>
      </w:r>
      <w:r w:rsidRPr="00AD7B96">
        <w:rPr>
          <w:rFonts w:asciiTheme="minorHAnsi" w:hAnsiTheme="minorHAnsi" w:cstheme="minorHAnsi"/>
          <w:b/>
          <w:bCs/>
          <w:color w:val="ED7D31" w:themeColor="accent2"/>
          <w:sz w:val="22"/>
          <w:szCs w:val="22"/>
          <w:shd w:val="clear" w:color="auto" w:fill="FFFFFF"/>
        </w:rPr>
        <w:t xml:space="preserve">en page 13 le plan du réseau de biogaz de 2020 </w:t>
      </w:r>
      <w:r w:rsidR="001A21B8">
        <w:rPr>
          <w:rFonts w:asciiTheme="minorHAnsi" w:hAnsiTheme="minorHAnsi" w:cstheme="minorHAnsi"/>
          <w:b/>
          <w:bCs/>
          <w:color w:val="ED7D31" w:themeColor="accent2"/>
          <w:sz w:val="22"/>
          <w:szCs w:val="22"/>
          <w:shd w:val="clear" w:color="auto" w:fill="FFFFFF"/>
        </w:rPr>
        <w:t xml:space="preserve">à </w:t>
      </w:r>
      <w:r w:rsidRPr="00AD7B96">
        <w:rPr>
          <w:rFonts w:asciiTheme="minorHAnsi" w:hAnsiTheme="minorHAnsi" w:cstheme="minorHAnsi"/>
          <w:b/>
          <w:bCs/>
          <w:color w:val="ED7D31" w:themeColor="accent2"/>
          <w:sz w:val="22"/>
          <w:szCs w:val="22"/>
          <w:shd w:val="clear" w:color="auto" w:fill="FFFFFF"/>
        </w:rPr>
        <w:t xml:space="preserve">titre indicatif et à la page 19 </w:t>
      </w:r>
      <w:r w:rsidR="00B768D9" w:rsidRPr="00AD7B96">
        <w:rPr>
          <w:rFonts w:asciiTheme="minorHAnsi" w:hAnsiTheme="minorHAnsi" w:cstheme="minorHAnsi"/>
          <w:b/>
          <w:bCs/>
          <w:color w:val="ED7D31" w:themeColor="accent2"/>
          <w:sz w:val="22"/>
          <w:szCs w:val="22"/>
          <w:shd w:val="clear" w:color="auto" w:fill="FFFFFF"/>
        </w:rPr>
        <w:t xml:space="preserve">la localisation des </w:t>
      </w:r>
      <w:r w:rsidR="001A21B8" w:rsidRPr="00AD7B96">
        <w:rPr>
          <w:rFonts w:asciiTheme="minorHAnsi" w:hAnsiTheme="minorHAnsi" w:cstheme="minorHAnsi"/>
          <w:b/>
          <w:bCs/>
          <w:color w:val="ED7D31" w:themeColor="accent2"/>
          <w:sz w:val="22"/>
          <w:szCs w:val="22"/>
          <w:shd w:val="clear" w:color="auto" w:fill="FFFFFF"/>
        </w:rPr>
        <w:t>piézométriques</w:t>
      </w:r>
      <w:r w:rsidR="007D73ED" w:rsidRPr="00AD7B96">
        <w:rPr>
          <w:rFonts w:asciiTheme="minorHAnsi" w:hAnsiTheme="minorHAnsi" w:cstheme="minorHAnsi"/>
          <w:b/>
          <w:bCs/>
          <w:color w:val="ED7D31" w:themeColor="accent2"/>
          <w:sz w:val="22"/>
          <w:szCs w:val="22"/>
          <w:shd w:val="clear" w:color="auto" w:fill="FFFFFF"/>
        </w:rPr>
        <w:t>.</w:t>
      </w:r>
      <w:r w:rsidR="00B768D9" w:rsidRPr="00AD7B96">
        <w:rPr>
          <w:rFonts w:asciiTheme="minorHAnsi" w:hAnsiTheme="minorHAnsi" w:cstheme="minorHAnsi"/>
          <w:b/>
          <w:bCs/>
          <w:color w:val="ED7D31" w:themeColor="accent2"/>
          <w:sz w:val="22"/>
          <w:szCs w:val="22"/>
          <w:shd w:val="clear" w:color="auto" w:fill="FFFFFF"/>
        </w:rPr>
        <w:t xml:space="preserve"> </w:t>
      </w:r>
    </w:p>
    <w:p w14:paraId="59222A95" w14:textId="58941065" w:rsidR="00B768D9" w:rsidRPr="00BC476A" w:rsidRDefault="00B768D9" w:rsidP="00BC476A">
      <w:pPr>
        <w:pStyle w:val="xmsonormal"/>
        <w:numPr>
          <w:ilvl w:val="0"/>
          <w:numId w:val="1"/>
        </w:numPr>
        <w:shd w:val="clear" w:color="auto" w:fill="FFFFFF"/>
        <w:spacing w:before="0" w:beforeAutospacing="0" w:after="0" w:afterAutospacing="0" w:line="360" w:lineRule="auto"/>
        <w:jc w:val="both"/>
        <w:rPr>
          <w:rFonts w:asciiTheme="minorHAnsi" w:hAnsiTheme="minorHAnsi" w:cstheme="minorHAnsi"/>
          <w:color w:val="6FC040"/>
          <w:sz w:val="22"/>
          <w:szCs w:val="22"/>
          <w:shd w:val="clear" w:color="auto" w:fill="FFFFFF"/>
        </w:rPr>
      </w:pPr>
      <w:r w:rsidRPr="00AD7B96">
        <w:rPr>
          <w:rFonts w:asciiTheme="minorHAnsi" w:hAnsiTheme="minorHAnsi" w:cstheme="minorHAnsi"/>
          <w:color w:val="242424"/>
          <w:sz w:val="22"/>
          <w:szCs w:val="22"/>
          <w:shd w:val="clear" w:color="auto" w:fill="FFFFFF"/>
        </w:rPr>
        <w:t>Nous aimerions savoir depuis quelle date la zone délimitée pour l’accueil de la centrale n’est-elle plus exploitée ?</w:t>
      </w:r>
    </w:p>
    <w:p w14:paraId="60BFCA38" w14:textId="1D9E88C9" w:rsidR="00BC476A" w:rsidRPr="00BC476A" w:rsidRDefault="009D5DAC" w:rsidP="00BC476A">
      <w:pPr>
        <w:pStyle w:val="xmsonormal"/>
        <w:shd w:val="clear" w:color="auto" w:fill="FFFFFF"/>
        <w:spacing w:before="0" w:beforeAutospacing="0" w:after="0" w:afterAutospacing="0" w:line="360" w:lineRule="auto"/>
        <w:jc w:val="both"/>
        <w:rPr>
          <w:rFonts w:asciiTheme="minorHAnsi" w:hAnsiTheme="minorHAnsi" w:cstheme="minorHAnsi"/>
          <w:b/>
          <w:bCs/>
          <w:color w:val="ED7D31" w:themeColor="accent2"/>
          <w:sz w:val="22"/>
          <w:szCs w:val="22"/>
          <w:shd w:val="clear" w:color="auto" w:fill="FFFFFF"/>
        </w:rPr>
      </w:pPr>
      <w:r w:rsidRPr="00BC476A">
        <w:rPr>
          <w:rFonts w:asciiTheme="minorHAnsi" w:hAnsiTheme="minorHAnsi" w:cstheme="minorHAnsi"/>
          <w:b/>
          <w:bCs/>
          <w:color w:val="ED7D31" w:themeColor="accent2"/>
          <w:sz w:val="22"/>
          <w:szCs w:val="22"/>
          <w:shd w:val="clear" w:color="auto" w:fill="FFFFFF"/>
        </w:rPr>
        <w:t>La partie</w:t>
      </w:r>
      <w:r w:rsidR="00BC476A" w:rsidRPr="00BC476A">
        <w:rPr>
          <w:rFonts w:asciiTheme="minorHAnsi" w:hAnsiTheme="minorHAnsi" w:cstheme="minorHAnsi"/>
          <w:b/>
          <w:bCs/>
          <w:color w:val="ED7D31" w:themeColor="accent2"/>
          <w:sz w:val="22"/>
          <w:szCs w:val="22"/>
          <w:shd w:val="clear" w:color="auto" w:fill="FFFFFF"/>
        </w:rPr>
        <w:t xml:space="preserve"> de la zone qui </w:t>
      </w:r>
      <w:r w:rsidR="001A21B8">
        <w:rPr>
          <w:rFonts w:asciiTheme="minorHAnsi" w:hAnsiTheme="minorHAnsi" w:cstheme="minorHAnsi"/>
          <w:b/>
          <w:bCs/>
          <w:color w:val="ED7D31" w:themeColor="accent2"/>
          <w:sz w:val="22"/>
          <w:szCs w:val="22"/>
          <w:shd w:val="clear" w:color="auto" w:fill="FFFFFF"/>
        </w:rPr>
        <w:t>repose</w:t>
      </w:r>
      <w:r w:rsidR="00BC476A" w:rsidRPr="00BC476A">
        <w:rPr>
          <w:rFonts w:asciiTheme="minorHAnsi" w:hAnsiTheme="minorHAnsi" w:cstheme="minorHAnsi"/>
          <w:b/>
          <w:bCs/>
          <w:color w:val="ED7D31" w:themeColor="accent2"/>
          <w:sz w:val="22"/>
          <w:szCs w:val="22"/>
          <w:shd w:val="clear" w:color="auto" w:fill="FFFFFF"/>
        </w:rPr>
        <w:t xml:space="preserve"> sur du déchet date de l'année 2006</w:t>
      </w:r>
    </w:p>
    <w:p w14:paraId="0BB8A8ED" w14:textId="77777777" w:rsidR="009D5DAC" w:rsidRPr="009D5DAC" w:rsidRDefault="007C2116" w:rsidP="005F10E1">
      <w:pPr>
        <w:pStyle w:val="Paragraphedeliste"/>
        <w:numPr>
          <w:ilvl w:val="0"/>
          <w:numId w:val="1"/>
        </w:numPr>
        <w:shd w:val="clear" w:color="auto" w:fill="FFFFFF"/>
        <w:spacing w:after="0" w:line="360" w:lineRule="auto"/>
        <w:jc w:val="both"/>
        <w:textAlignment w:val="baseline"/>
        <w:rPr>
          <w:rFonts w:cstheme="minorHAnsi"/>
          <w:b/>
          <w:bCs/>
          <w:color w:val="ED7D31" w:themeColor="accent2"/>
          <w:shd w:val="clear" w:color="auto" w:fill="FFFFFF"/>
        </w:rPr>
      </w:pPr>
      <w:r w:rsidRPr="009D5DAC">
        <w:rPr>
          <w:rFonts w:cstheme="minorHAnsi"/>
          <w:color w:val="242424"/>
        </w:rPr>
        <w:t>Pouvons-nous avoir des précisions sur les servitudes d’accès, services de secours, etc. (largeur, rayons de braquage, zones de retournement, etc.) ? </w:t>
      </w:r>
    </w:p>
    <w:p w14:paraId="49EBD6A4" w14:textId="58E95D99" w:rsidR="00BC476A" w:rsidRPr="009D5DAC" w:rsidRDefault="00BC476A" w:rsidP="009D5DAC">
      <w:pPr>
        <w:shd w:val="clear" w:color="auto" w:fill="FFFFFF"/>
        <w:spacing w:after="0" w:line="360" w:lineRule="auto"/>
        <w:jc w:val="both"/>
        <w:textAlignment w:val="baseline"/>
        <w:rPr>
          <w:rFonts w:cstheme="minorHAnsi"/>
          <w:b/>
          <w:bCs/>
          <w:color w:val="ED7D31" w:themeColor="accent2"/>
          <w:shd w:val="clear" w:color="auto" w:fill="FFFFFF"/>
        </w:rPr>
      </w:pPr>
      <w:r w:rsidRPr="009D5DAC">
        <w:rPr>
          <w:rFonts w:cstheme="minorHAnsi"/>
          <w:b/>
          <w:bCs/>
          <w:color w:val="ED7D31" w:themeColor="accent2"/>
          <w:shd w:val="clear" w:color="auto" w:fill="FFFFFF"/>
        </w:rPr>
        <w:t xml:space="preserve">Veolia doit avoir accès à son réseau de collecte des effluents gazeux (biogaz)  et liquides (eaux de ruissellement et lixiviats) </w:t>
      </w:r>
      <w:r w:rsidR="001A21B8" w:rsidRPr="009D5DAC">
        <w:rPr>
          <w:rFonts w:cstheme="minorHAnsi"/>
          <w:b/>
          <w:bCs/>
          <w:color w:val="ED7D31" w:themeColor="accent2"/>
          <w:shd w:val="clear" w:color="auto" w:fill="FFFFFF"/>
        </w:rPr>
        <w:t>à</w:t>
      </w:r>
      <w:r w:rsidRPr="009D5DAC">
        <w:rPr>
          <w:rFonts w:cstheme="minorHAnsi"/>
          <w:b/>
          <w:bCs/>
          <w:color w:val="ED7D31" w:themeColor="accent2"/>
          <w:shd w:val="clear" w:color="auto" w:fill="FFFFFF"/>
        </w:rPr>
        <w:t xml:space="preserve"> tout moment, idem pour les services de secours incendie.</w:t>
      </w:r>
    </w:p>
    <w:p w14:paraId="77963C6C" w14:textId="0792EA7B" w:rsidR="00BC476A" w:rsidRPr="00BC476A" w:rsidRDefault="00BC476A" w:rsidP="00BC476A">
      <w:pPr>
        <w:pStyle w:val="xmsonormal"/>
        <w:shd w:val="clear" w:color="auto" w:fill="FFFFFF"/>
        <w:spacing w:before="0" w:beforeAutospacing="0" w:after="0" w:afterAutospacing="0" w:line="360" w:lineRule="auto"/>
        <w:jc w:val="both"/>
        <w:rPr>
          <w:rFonts w:asciiTheme="minorHAnsi" w:hAnsiTheme="minorHAnsi" w:cstheme="minorHAnsi"/>
          <w:b/>
          <w:bCs/>
          <w:color w:val="ED7D31" w:themeColor="accent2"/>
          <w:sz w:val="22"/>
          <w:szCs w:val="22"/>
          <w:shd w:val="clear" w:color="auto" w:fill="FFFFFF"/>
        </w:rPr>
      </w:pPr>
      <w:r w:rsidRPr="00BC476A">
        <w:rPr>
          <w:rFonts w:asciiTheme="minorHAnsi" w:hAnsiTheme="minorHAnsi" w:cstheme="minorHAnsi"/>
          <w:b/>
          <w:bCs/>
          <w:color w:val="ED7D31" w:themeColor="accent2"/>
          <w:sz w:val="22"/>
          <w:szCs w:val="22"/>
          <w:shd w:val="clear" w:color="auto" w:fill="FFFFFF"/>
        </w:rPr>
        <w:t>Pour les voiries, circulables par tout temps par des camions type 8x4 avec les rayons de braquage d'un 8x4 et d'une largeur de 3,5 m avec quelques points de croisement possible</w:t>
      </w:r>
      <w:r w:rsidR="001A21B8">
        <w:rPr>
          <w:rFonts w:asciiTheme="minorHAnsi" w:hAnsiTheme="minorHAnsi" w:cstheme="minorHAnsi"/>
          <w:b/>
          <w:bCs/>
          <w:color w:val="ED7D31" w:themeColor="accent2"/>
          <w:sz w:val="22"/>
          <w:szCs w:val="22"/>
          <w:shd w:val="clear" w:color="auto" w:fill="FFFFFF"/>
        </w:rPr>
        <w:t>s</w:t>
      </w:r>
      <w:r>
        <w:rPr>
          <w:rFonts w:asciiTheme="minorHAnsi" w:hAnsiTheme="minorHAnsi" w:cstheme="minorHAnsi"/>
          <w:b/>
          <w:bCs/>
          <w:color w:val="ED7D31" w:themeColor="accent2"/>
          <w:sz w:val="22"/>
          <w:szCs w:val="22"/>
          <w:shd w:val="clear" w:color="auto" w:fill="FFFFFF"/>
        </w:rPr>
        <w:t>.</w:t>
      </w:r>
    </w:p>
    <w:p w14:paraId="5998FC2F" w14:textId="50866220" w:rsidR="00BC476A" w:rsidRPr="00BC476A" w:rsidRDefault="00BC476A" w:rsidP="00BC476A">
      <w:pPr>
        <w:pStyle w:val="xmsonormal"/>
        <w:shd w:val="clear" w:color="auto" w:fill="FFFFFF"/>
        <w:spacing w:before="0" w:beforeAutospacing="0" w:after="0" w:afterAutospacing="0" w:line="360" w:lineRule="auto"/>
        <w:jc w:val="both"/>
        <w:rPr>
          <w:rFonts w:asciiTheme="minorHAnsi" w:hAnsiTheme="minorHAnsi" w:cstheme="minorHAnsi"/>
          <w:b/>
          <w:bCs/>
          <w:color w:val="ED7D31" w:themeColor="accent2"/>
          <w:sz w:val="22"/>
          <w:szCs w:val="22"/>
          <w:shd w:val="clear" w:color="auto" w:fill="FFFFFF"/>
        </w:rPr>
      </w:pPr>
      <w:r w:rsidRPr="00BC476A">
        <w:rPr>
          <w:rFonts w:asciiTheme="minorHAnsi" w:hAnsiTheme="minorHAnsi" w:cstheme="minorHAnsi"/>
          <w:b/>
          <w:bCs/>
          <w:color w:val="ED7D31" w:themeColor="accent2"/>
          <w:sz w:val="22"/>
          <w:szCs w:val="22"/>
          <w:shd w:val="clear" w:color="auto" w:fill="FFFFFF"/>
        </w:rPr>
        <w:lastRenderedPageBreak/>
        <w:t>Pour les services de secours incendie, il faudrait voir directement avec eux, de notre côté pour l'heure ils ont les pistes en place</w:t>
      </w:r>
      <w:r>
        <w:rPr>
          <w:rFonts w:asciiTheme="minorHAnsi" w:hAnsiTheme="minorHAnsi" w:cstheme="minorHAnsi"/>
          <w:b/>
          <w:bCs/>
          <w:color w:val="ED7D31" w:themeColor="accent2"/>
          <w:sz w:val="22"/>
          <w:szCs w:val="22"/>
          <w:shd w:val="clear" w:color="auto" w:fill="FFFFFF"/>
        </w:rPr>
        <w:t>.</w:t>
      </w:r>
    </w:p>
    <w:p w14:paraId="4A41EB95" w14:textId="77777777" w:rsidR="00BC476A" w:rsidRDefault="001629B1" w:rsidP="00BC476A">
      <w:pPr>
        <w:pStyle w:val="xmsonormal"/>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rPr>
      </w:pPr>
      <w:r w:rsidRPr="00BC476A">
        <w:rPr>
          <w:rFonts w:asciiTheme="minorHAnsi" w:hAnsiTheme="minorHAnsi" w:cstheme="minorHAnsi"/>
          <w:color w:val="242424"/>
          <w:sz w:val="22"/>
          <w:szCs w:val="22"/>
        </w:rPr>
        <w:t>Le site de l’ISDND fait-il l’objet de contraintes liées à un zonage ATEX ? SI oui, quelles sont-elles ? </w:t>
      </w:r>
    </w:p>
    <w:p w14:paraId="703F8009" w14:textId="22B137B6" w:rsidR="004A2310" w:rsidRPr="00BC476A" w:rsidRDefault="00BC476A" w:rsidP="00BC476A">
      <w:pPr>
        <w:pStyle w:val="xmsonormal"/>
        <w:shd w:val="clear" w:color="auto" w:fill="FFFFFF"/>
        <w:spacing w:before="0" w:beforeAutospacing="0" w:after="0" w:afterAutospacing="0" w:line="360" w:lineRule="auto"/>
        <w:jc w:val="both"/>
        <w:rPr>
          <w:rFonts w:asciiTheme="minorHAnsi" w:hAnsiTheme="minorHAnsi" w:cstheme="minorHAnsi"/>
          <w:b/>
          <w:bCs/>
          <w:color w:val="ED7D31" w:themeColor="accent2"/>
          <w:sz w:val="22"/>
          <w:szCs w:val="22"/>
          <w:shd w:val="clear" w:color="auto" w:fill="FFFFFF"/>
        </w:rPr>
      </w:pPr>
      <w:r w:rsidRPr="00BC476A">
        <w:rPr>
          <w:rFonts w:asciiTheme="minorHAnsi" w:hAnsiTheme="minorHAnsi" w:cstheme="minorHAnsi"/>
          <w:b/>
          <w:bCs/>
          <w:color w:val="ED7D31" w:themeColor="accent2"/>
          <w:sz w:val="22"/>
          <w:szCs w:val="22"/>
          <w:shd w:val="clear" w:color="auto" w:fill="FFFFFF"/>
        </w:rPr>
        <w:t>Oui il y a des zones ATEX sur le site, par rapport à la zone concernée par le projet, chaque bride du réseau de biogaz est considérée comme zone ATEX (zone 2) s</w:t>
      </w:r>
      <w:r>
        <w:rPr>
          <w:rFonts w:asciiTheme="minorHAnsi" w:hAnsiTheme="minorHAnsi" w:cstheme="minorHAnsi"/>
          <w:b/>
          <w:bCs/>
          <w:color w:val="ED7D31" w:themeColor="accent2"/>
          <w:sz w:val="22"/>
          <w:szCs w:val="22"/>
          <w:shd w:val="clear" w:color="auto" w:fill="FFFFFF"/>
        </w:rPr>
        <w:t>ur 1 m de rayon autour de celle-</w:t>
      </w:r>
      <w:r w:rsidRPr="00BC476A">
        <w:rPr>
          <w:rFonts w:asciiTheme="minorHAnsi" w:hAnsiTheme="minorHAnsi" w:cstheme="minorHAnsi"/>
          <w:b/>
          <w:bCs/>
          <w:color w:val="ED7D31" w:themeColor="accent2"/>
          <w:sz w:val="22"/>
          <w:szCs w:val="22"/>
          <w:shd w:val="clear" w:color="auto" w:fill="FFFFFF"/>
        </w:rPr>
        <w:t>ci.</w:t>
      </w:r>
    </w:p>
    <w:p w14:paraId="76002F39" w14:textId="297B67B0" w:rsidR="00B768D9" w:rsidRPr="00AD7B96" w:rsidRDefault="00B768D9" w:rsidP="00BC476A">
      <w:pPr>
        <w:pStyle w:val="xmsonormal"/>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rPr>
      </w:pPr>
      <w:r w:rsidRPr="00AD7B96">
        <w:rPr>
          <w:rFonts w:asciiTheme="minorHAnsi" w:hAnsiTheme="minorHAnsi" w:cstheme="minorHAnsi"/>
          <w:color w:val="242424"/>
          <w:sz w:val="22"/>
          <w:szCs w:val="22"/>
        </w:rPr>
        <w:t>Je souhaite étudier la localisation ainsi que la surface potentielle du projet.</w:t>
      </w:r>
      <w:r w:rsidR="00A07A8C" w:rsidRPr="00AD7B96">
        <w:rPr>
          <w:rFonts w:asciiTheme="minorHAnsi" w:hAnsiTheme="minorHAnsi" w:cstheme="minorHAnsi"/>
          <w:color w:val="242424"/>
          <w:sz w:val="22"/>
          <w:szCs w:val="22"/>
        </w:rPr>
        <w:t xml:space="preserve"> </w:t>
      </w:r>
      <w:r w:rsidRPr="00AD7B96">
        <w:rPr>
          <w:rFonts w:asciiTheme="minorHAnsi" w:hAnsiTheme="minorHAnsi" w:cstheme="minorHAnsi"/>
          <w:color w:val="242424"/>
          <w:sz w:val="22"/>
          <w:szCs w:val="22"/>
        </w:rPr>
        <w:t xml:space="preserve">La cartographie est floue, il est précisé 11 ha pour 5 </w:t>
      </w:r>
      <w:proofErr w:type="spellStart"/>
      <w:r w:rsidRPr="00AD7B96">
        <w:rPr>
          <w:rFonts w:asciiTheme="minorHAnsi" w:hAnsiTheme="minorHAnsi" w:cstheme="minorHAnsi"/>
          <w:color w:val="242424"/>
          <w:sz w:val="22"/>
          <w:szCs w:val="22"/>
        </w:rPr>
        <w:t>MWc</w:t>
      </w:r>
      <w:proofErr w:type="spellEnd"/>
      <w:r w:rsidRPr="00AD7B96">
        <w:rPr>
          <w:rFonts w:asciiTheme="minorHAnsi" w:hAnsiTheme="minorHAnsi" w:cstheme="minorHAnsi"/>
          <w:color w:val="242424"/>
          <w:sz w:val="22"/>
          <w:szCs w:val="22"/>
        </w:rPr>
        <w:t xml:space="preserve"> mais ce n’est pas exactement localisé.</w:t>
      </w:r>
    </w:p>
    <w:p w14:paraId="6AFC42B3" w14:textId="21274410" w:rsidR="004B4394" w:rsidRPr="00AD7B96" w:rsidRDefault="00D23E6A" w:rsidP="00BC476A">
      <w:pPr>
        <w:pStyle w:val="xmsonormal"/>
        <w:shd w:val="clear" w:color="auto" w:fill="FFFFFF"/>
        <w:spacing w:before="0" w:beforeAutospacing="0" w:after="0" w:afterAutospacing="0" w:line="360" w:lineRule="auto"/>
        <w:jc w:val="both"/>
        <w:rPr>
          <w:rFonts w:asciiTheme="minorHAnsi" w:hAnsiTheme="minorHAnsi" w:cstheme="minorHAnsi"/>
          <w:b/>
          <w:bCs/>
          <w:color w:val="ED7D31" w:themeColor="accent2"/>
          <w:sz w:val="22"/>
          <w:szCs w:val="22"/>
          <w:shd w:val="clear" w:color="auto" w:fill="FFFFFF"/>
        </w:rPr>
      </w:pPr>
      <w:r w:rsidRPr="00AD7B96">
        <w:rPr>
          <w:rFonts w:asciiTheme="minorHAnsi" w:hAnsiTheme="minorHAnsi" w:cstheme="minorHAnsi"/>
          <w:b/>
          <w:bCs/>
          <w:color w:val="ED7D31" w:themeColor="accent2"/>
          <w:sz w:val="22"/>
          <w:szCs w:val="22"/>
        </w:rPr>
        <w:t xml:space="preserve">L’emprise du projet photovoltaïque est </w:t>
      </w:r>
      <w:r w:rsidR="004B4394" w:rsidRPr="00AD7B96">
        <w:rPr>
          <w:rFonts w:asciiTheme="minorHAnsi" w:hAnsiTheme="minorHAnsi" w:cstheme="minorHAnsi"/>
          <w:b/>
          <w:bCs/>
          <w:color w:val="ED7D31" w:themeColor="accent2"/>
          <w:sz w:val="22"/>
          <w:szCs w:val="22"/>
        </w:rPr>
        <w:t>à</w:t>
      </w:r>
      <w:r w:rsidRPr="00AD7B96">
        <w:rPr>
          <w:rFonts w:asciiTheme="minorHAnsi" w:hAnsiTheme="minorHAnsi" w:cstheme="minorHAnsi"/>
          <w:b/>
          <w:bCs/>
          <w:color w:val="ED7D31" w:themeColor="accent2"/>
          <w:sz w:val="22"/>
          <w:szCs w:val="22"/>
        </w:rPr>
        <w:t xml:space="preserve"> définir par l’entreprise suite à la visite et au plan présent dans l’AMI. </w:t>
      </w:r>
      <w:r w:rsidR="00D1238F" w:rsidRPr="00AD7B96">
        <w:rPr>
          <w:rFonts w:asciiTheme="minorHAnsi" w:hAnsiTheme="minorHAnsi" w:cstheme="minorHAnsi"/>
          <w:b/>
          <w:bCs/>
          <w:color w:val="ED7D31" w:themeColor="accent2"/>
          <w:sz w:val="22"/>
          <w:szCs w:val="22"/>
        </w:rPr>
        <w:t>Les données présentes</w:t>
      </w:r>
      <w:r w:rsidRPr="00AD7B96">
        <w:rPr>
          <w:rFonts w:asciiTheme="minorHAnsi" w:hAnsiTheme="minorHAnsi" w:cstheme="minorHAnsi"/>
          <w:b/>
          <w:bCs/>
          <w:color w:val="ED7D31" w:themeColor="accent2"/>
          <w:sz w:val="22"/>
          <w:szCs w:val="22"/>
        </w:rPr>
        <w:t xml:space="preserve"> dans l’AMI </w:t>
      </w:r>
      <w:r w:rsidR="001A21B8">
        <w:rPr>
          <w:rFonts w:asciiTheme="minorHAnsi" w:hAnsiTheme="minorHAnsi" w:cstheme="minorHAnsi"/>
          <w:b/>
          <w:bCs/>
          <w:color w:val="ED7D31" w:themeColor="accent2"/>
          <w:sz w:val="22"/>
          <w:szCs w:val="22"/>
        </w:rPr>
        <w:t>sont</w:t>
      </w:r>
      <w:r w:rsidRPr="00AD7B96">
        <w:rPr>
          <w:rFonts w:asciiTheme="minorHAnsi" w:hAnsiTheme="minorHAnsi" w:cstheme="minorHAnsi"/>
          <w:b/>
          <w:bCs/>
          <w:color w:val="ED7D31" w:themeColor="accent2"/>
          <w:sz w:val="22"/>
          <w:szCs w:val="22"/>
        </w:rPr>
        <w:t xml:space="preserve"> </w:t>
      </w:r>
      <w:r w:rsidR="001A21B8">
        <w:rPr>
          <w:rFonts w:asciiTheme="minorHAnsi" w:hAnsiTheme="minorHAnsi" w:cstheme="minorHAnsi"/>
          <w:b/>
          <w:bCs/>
          <w:color w:val="ED7D31" w:themeColor="accent2"/>
          <w:sz w:val="22"/>
          <w:szCs w:val="22"/>
        </w:rPr>
        <w:t>en</w:t>
      </w:r>
      <w:r w:rsidRPr="00AD7B96">
        <w:rPr>
          <w:rFonts w:asciiTheme="minorHAnsi" w:hAnsiTheme="minorHAnsi" w:cstheme="minorHAnsi"/>
          <w:b/>
          <w:bCs/>
          <w:color w:val="ED7D31" w:themeColor="accent2"/>
          <w:sz w:val="22"/>
          <w:szCs w:val="22"/>
        </w:rPr>
        <w:t xml:space="preserve"> ordre de grandeu</w:t>
      </w:r>
      <w:r w:rsidR="00D1238F" w:rsidRPr="00AD7B96">
        <w:rPr>
          <w:rFonts w:asciiTheme="minorHAnsi" w:hAnsiTheme="minorHAnsi" w:cstheme="minorHAnsi"/>
          <w:b/>
          <w:bCs/>
          <w:color w:val="ED7D31" w:themeColor="accent2"/>
          <w:sz w:val="22"/>
          <w:szCs w:val="22"/>
        </w:rPr>
        <w:t xml:space="preserve">r </w:t>
      </w:r>
      <w:r w:rsidR="00A02CA6" w:rsidRPr="00AD7B96">
        <w:rPr>
          <w:rFonts w:asciiTheme="minorHAnsi" w:hAnsiTheme="minorHAnsi" w:cstheme="minorHAnsi"/>
          <w:b/>
          <w:bCs/>
          <w:color w:val="ED7D31" w:themeColor="accent2"/>
          <w:sz w:val="22"/>
          <w:szCs w:val="22"/>
          <w:shd w:val="clear" w:color="auto" w:fill="FFFFFF"/>
        </w:rPr>
        <w:t>pour que les candidats potentiel</w:t>
      </w:r>
      <w:r w:rsidR="001A21B8">
        <w:rPr>
          <w:rFonts w:asciiTheme="minorHAnsi" w:hAnsiTheme="minorHAnsi" w:cstheme="minorHAnsi"/>
          <w:b/>
          <w:bCs/>
          <w:color w:val="ED7D31" w:themeColor="accent2"/>
          <w:sz w:val="22"/>
          <w:szCs w:val="22"/>
          <w:shd w:val="clear" w:color="auto" w:fill="FFFFFF"/>
        </w:rPr>
        <w:t>s</w:t>
      </w:r>
      <w:r w:rsidR="00A02CA6" w:rsidRPr="00AD7B96">
        <w:rPr>
          <w:rFonts w:asciiTheme="minorHAnsi" w:hAnsiTheme="minorHAnsi" w:cstheme="minorHAnsi"/>
          <w:b/>
          <w:bCs/>
          <w:color w:val="ED7D31" w:themeColor="accent2"/>
          <w:sz w:val="22"/>
          <w:szCs w:val="22"/>
          <w:shd w:val="clear" w:color="auto" w:fill="FFFFFF"/>
        </w:rPr>
        <w:t xml:space="preserve"> aient une idée de la taille du projet. En aucun cas</w:t>
      </w:r>
      <w:r w:rsidR="00D1238F" w:rsidRPr="00AD7B96">
        <w:rPr>
          <w:rFonts w:asciiTheme="minorHAnsi" w:hAnsiTheme="minorHAnsi" w:cstheme="minorHAnsi"/>
          <w:b/>
          <w:bCs/>
          <w:color w:val="ED7D31" w:themeColor="accent2"/>
          <w:sz w:val="22"/>
          <w:szCs w:val="22"/>
          <w:shd w:val="clear" w:color="auto" w:fill="FFFFFF"/>
        </w:rPr>
        <w:t xml:space="preserve">, la Commune </w:t>
      </w:r>
      <w:r w:rsidR="00A02CA6" w:rsidRPr="00AD7B96">
        <w:rPr>
          <w:rFonts w:asciiTheme="minorHAnsi" w:hAnsiTheme="minorHAnsi" w:cstheme="minorHAnsi"/>
          <w:b/>
          <w:bCs/>
          <w:color w:val="ED7D31" w:themeColor="accent2"/>
          <w:sz w:val="22"/>
          <w:szCs w:val="22"/>
          <w:shd w:val="clear" w:color="auto" w:fill="FFFFFF"/>
        </w:rPr>
        <w:t>fourni</w:t>
      </w:r>
      <w:r w:rsidR="001A21B8">
        <w:rPr>
          <w:rFonts w:asciiTheme="minorHAnsi" w:hAnsiTheme="minorHAnsi" w:cstheme="minorHAnsi"/>
          <w:b/>
          <w:bCs/>
          <w:color w:val="ED7D31" w:themeColor="accent2"/>
          <w:sz w:val="22"/>
          <w:szCs w:val="22"/>
          <w:shd w:val="clear" w:color="auto" w:fill="FFFFFF"/>
        </w:rPr>
        <w:t>t</w:t>
      </w:r>
      <w:r w:rsidR="00A02CA6" w:rsidRPr="00AD7B96">
        <w:rPr>
          <w:rFonts w:asciiTheme="minorHAnsi" w:hAnsiTheme="minorHAnsi" w:cstheme="minorHAnsi"/>
          <w:b/>
          <w:bCs/>
          <w:color w:val="ED7D31" w:themeColor="accent2"/>
          <w:sz w:val="22"/>
          <w:szCs w:val="22"/>
          <w:shd w:val="clear" w:color="auto" w:fill="FFFFFF"/>
        </w:rPr>
        <w:t xml:space="preserve"> un périmètre sur lequel </w:t>
      </w:r>
      <w:r w:rsidR="00D1238F" w:rsidRPr="00AD7B96">
        <w:rPr>
          <w:rFonts w:asciiTheme="minorHAnsi" w:hAnsiTheme="minorHAnsi" w:cstheme="minorHAnsi"/>
          <w:b/>
          <w:bCs/>
          <w:color w:val="ED7D31" w:themeColor="accent2"/>
          <w:sz w:val="22"/>
          <w:szCs w:val="22"/>
          <w:shd w:val="clear" w:color="auto" w:fill="FFFFFF"/>
        </w:rPr>
        <w:t>elle</w:t>
      </w:r>
      <w:r w:rsidR="00A02CA6" w:rsidRPr="00AD7B96">
        <w:rPr>
          <w:rFonts w:asciiTheme="minorHAnsi" w:hAnsiTheme="minorHAnsi" w:cstheme="minorHAnsi"/>
          <w:b/>
          <w:bCs/>
          <w:color w:val="ED7D31" w:themeColor="accent2"/>
          <w:sz w:val="22"/>
          <w:szCs w:val="22"/>
          <w:shd w:val="clear" w:color="auto" w:fill="FFFFFF"/>
        </w:rPr>
        <w:t xml:space="preserve"> s'engage à ce qu'une puissance soit in fine réalisable.</w:t>
      </w:r>
    </w:p>
    <w:p w14:paraId="5B530DC9" w14:textId="1C8122A1" w:rsidR="00507AC5" w:rsidRPr="00AD7B96" w:rsidRDefault="00507AC5" w:rsidP="00BC476A">
      <w:pPr>
        <w:pStyle w:val="xmsonormal"/>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rPr>
      </w:pPr>
      <w:r w:rsidRPr="00AD7B96">
        <w:rPr>
          <w:rFonts w:asciiTheme="minorHAnsi" w:hAnsiTheme="minorHAnsi" w:cstheme="minorHAnsi"/>
          <w:color w:val="242424"/>
          <w:sz w:val="22"/>
          <w:szCs w:val="22"/>
          <w:bdr w:val="none" w:sz="0" w:space="0" w:color="auto" w:frame="1"/>
        </w:rPr>
        <w:t>Dans le même paragraphe, il est indiqué que « l’exploitant retenu aura la responsabilité des OLD (obligations légales de débroussaillement) sur l’ensemble des parcelles exploitées ». Parle-t-on des zones exploitées par les installations photovoltaïques, ou de l’ensemble de l’exploitation de la carrière ?</w:t>
      </w:r>
    </w:p>
    <w:p w14:paraId="211A4CE9" w14:textId="6FD5E780" w:rsidR="00B768D9" w:rsidRPr="00AD7B96" w:rsidRDefault="001A21B8" w:rsidP="00BC476A">
      <w:pPr>
        <w:pStyle w:val="xmsonormal"/>
        <w:shd w:val="clear" w:color="auto" w:fill="FFFFFF"/>
        <w:spacing w:before="0" w:beforeAutospacing="0" w:after="0" w:afterAutospacing="0" w:line="360" w:lineRule="auto"/>
        <w:jc w:val="both"/>
        <w:rPr>
          <w:rFonts w:asciiTheme="minorHAnsi" w:hAnsiTheme="minorHAnsi" w:cstheme="minorHAnsi"/>
          <w:b/>
          <w:bCs/>
          <w:color w:val="ED7D31" w:themeColor="accent2"/>
          <w:sz w:val="22"/>
          <w:szCs w:val="22"/>
        </w:rPr>
      </w:pPr>
      <w:r>
        <w:rPr>
          <w:rFonts w:asciiTheme="minorHAnsi" w:hAnsiTheme="minorHAnsi" w:cstheme="minorHAnsi"/>
          <w:b/>
          <w:bCs/>
          <w:color w:val="ED7D31" w:themeColor="accent2"/>
          <w:sz w:val="22"/>
          <w:szCs w:val="22"/>
          <w:shd w:val="clear" w:color="auto" w:fill="FFFFFF"/>
        </w:rPr>
        <w:t>Il s’agit</w:t>
      </w:r>
      <w:r w:rsidR="004B4394" w:rsidRPr="00AD7B96">
        <w:rPr>
          <w:rFonts w:asciiTheme="minorHAnsi" w:hAnsiTheme="minorHAnsi" w:cstheme="minorHAnsi"/>
          <w:b/>
          <w:bCs/>
          <w:color w:val="ED7D31" w:themeColor="accent2"/>
          <w:sz w:val="22"/>
          <w:szCs w:val="22"/>
          <w:shd w:val="clear" w:color="auto" w:fill="FFFFFF"/>
        </w:rPr>
        <w:t xml:space="preserve"> uniquement des </w:t>
      </w:r>
      <w:r w:rsidR="00B768D9" w:rsidRPr="00AD7B96">
        <w:rPr>
          <w:rFonts w:asciiTheme="minorHAnsi" w:hAnsiTheme="minorHAnsi" w:cstheme="minorHAnsi"/>
          <w:b/>
          <w:bCs/>
          <w:color w:val="ED7D31" w:themeColor="accent2"/>
          <w:sz w:val="22"/>
          <w:szCs w:val="22"/>
          <w:shd w:val="clear" w:color="auto" w:fill="FFFFFF"/>
        </w:rPr>
        <w:t>OLD autour de l</w:t>
      </w:r>
      <w:r w:rsidR="004B4394" w:rsidRPr="00AD7B96">
        <w:rPr>
          <w:rFonts w:asciiTheme="minorHAnsi" w:hAnsiTheme="minorHAnsi" w:cstheme="minorHAnsi"/>
          <w:b/>
          <w:bCs/>
          <w:color w:val="ED7D31" w:themeColor="accent2"/>
          <w:sz w:val="22"/>
          <w:szCs w:val="22"/>
          <w:shd w:val="clear" w:color="auto" w:fill="FFFFFF"/>
        </w:rPr>
        <w:t xml:space="preserve">a future </w:t>
      </w:r>
      <w:r w:rsidR="00B768D9" w:rsidRPr="00AD7B96">
        <w:rPr>
          <w:rFonts w:asciiTheme="minorHAnsi" w:hAnsiTheme="minorHAnsi" w:cstheme="minorHAnsi"/>
          <w:b/>
          <w:bCs/>
          <w:color w:val="ED7D31" w:themeColor="accent2"/>
          <w:sz w:val="22"/>
          <w:szCs w:val="22"/>
          <w:shd w:val="clear" w:color="auto" w:fill="FFFFFF"/>
        </w:rPr>
        <w:t xml:space="preserve">installation </w:t>
      </w:r>
      <w:r w:rsidR="004B4394" w:rsidRPr="00AD7B96">
        <w:rPr>
          <w:rFonts w:asciiTheme="minorHAnsi" w:hAnsiTheme="minorHAnsi" w:cstheme="minorHAnsi"/>
          <w:b/>
          <w:bCs/>
          <w:color w:val="ED7D31" w:themeColor="accent2"/>
          <w:sz w:val="22"/>
          <w:szCs w:val="22"/>
          <w:shd w:val="clear" w:color="auto" w:fill="FFFFFF"/>
        </w:rPr>
        <w:t>photovoltaïque au sol.</w:t>
      </w:r>
    </w:p>
    <w:p w14:paraId="1C44C199" w14:textId="533E6173" w:rsidR="00507AC5" w:rsidRPr="00AD7B96" w:rsidRDefault="00507AC5" w:rsidP="00BC476A">
      <w:pPr>
        <w:pStyle w:val="xmsonormal"/>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rPr>
      </w:pPr>
      <w:r w:rsidRPr="00AD7B96">
        <w:rPr>
          <w:rFonts w:asciiTheme="minorHAnsi" w:hAnsiTheme="minorHAnsi" w:cstheme="minorHAnsi"/>
          <w:color w:val="242424"/>
          <w:sz w:val="22"/>
          <w:szCs w:val="22"/>
          <w:bdr w:val="none" w:sz="0" w:space="0" w:color="auto" w:frame="1"/>
        </w:rPr>
        <w:t>En page 7 – paragraphe 1.5 il est indiqué « Il est attendu du candidat que le projet soit établi préférentiellement hors cadre des Appels d’Offre de la CRE pour la valorisation de l’électricité », alors que le reste du document fait état de démarches valorisant l’électricité produite dans le cadre d’un Appel d’Offre de la CRE. Pouvez-vous confirmer que le projet doit préférentiellement être développé dans un contexte hors appels d’offres CRE ?</w:t>
      </w:r>
    </w:p>
    <w:p w14:paraId="1B2D6C3F" w14:textId="620A183F" w:rsidR="00B768D9" w:rsidRPr="00AD7B96" w:rsidRDefault="004B4394" w:rsidP="00BC476A">
      <w:pPr>
        <w:pStyle w:val="xmsonormal"/>
        <w:shd w:val="clear" w:color="auto" w:fill="FFFFFF"/>
        <w:spacing w:before="0" w:beforeAutospacing="0" w:after="0" w:afterAutospacing="0" w:line="360" w:lineRule="auto"/>
        <w:jc w:val="both"/>
        <w:rPr>
          <w:rFonts w:asciiTheme="minorHAnsi" w:hAnsiTheme="minorHAnsi" w:cstheme="minorHAnsi"/>
          <w:b/>
          <w:bCs/>
          <w:color w:val="ED7D31" w:themeColor="accent2"/>
          <w:sz w:val="22"/>
          <w:szCs w:val="22"/>
        </w:rPr>
      </w:pPr>
      <w:r w:rsidRPr="00AD7B96">
        <w:rPr>
          <w:rFonts w:asciiTheme="minorHAnsi" w:hAnsiTheme="minorHAnsi" w:cstheme="minorHAnsi"/>
          <w:b/>
          <w:bCs/>
          <w:color w:val="ED7D31" w:themeColor="accent2"/>
          <w:sz w:val="22"/>
          <w:szCs w:val="22"/>
          <w:shd w:val="clear" w:color="auto" w:fill="FFFFFF"/>
        </w:rPr>
        <w:t>La demande initiale est que l</w:t>
      </w:r>
      <w:r w:rsidR="00B768D9" w:rsidRPr="00AD7B96">
        <w:rPr>
          <w:rFonts w:asciiTheme="minorHAnsi" w:hAnsiTheme="minorHAnsi" w:cstheme="minorHAnsi"/>
          <w:b/>
          <w:bCs/>
          <w:color w:val="ED7D31" w:themeColor="accent2"/>
          <w:sz w:val="22"/>
          <w:szCs w:val="22"/>
          <w:shd w:val="clear" w:color="auto" w:fill="FFFFFF"/>
        </w:rPr>
        <w:t xml:space="preserve">e projet </w:t>
      </w:r>
      <w:r w:rsidRPr="00AD7B96">
        <w:rPr>
          <w:rFonts w:asciiTheme="minorHAnsi" w:hAnsiTheme="minorHAnsi" w:cstheme="minorHAnsi"/>
          <w:b/>
          <w:bCs/>
          <w:color w:val="ED7D31" w:themeColor="accent2"/>
          <w:sz w:val="22"/>
          <w:szCs w:val="22"/>
          <w:shd w:val="clear" w:color="auto" w:fill="FFFFFF"/>
        </w:rPr>
        <w:t>soit</w:t>
      </w:r>
      <w:r w:rsidR="00B768D9" w:rsidRPr="00AD7B96">
        <w:rPr>
          <w:rFonts w:asciiTheme="minorHAnsi" w:hAnsiTheme="minorHAnsi" w:cstheme="minorHAnsi"/>
          <w:b/>
          <w:bCs/>
          <w:color w:val="ED7D31" w:themeColor="accent2"/>
          <w:sz w:val="22"/>
          <w:szCs w:val="22"/>
          <w:shd w:val="clear" w:color="auto" w:fill="FFFFFF"/>
        </w:rPr>
        <w:t xml:space="preserve"> développé hors A</w:t>
      </w:r>
      <w:r w:rsidRPr="00AD7B96">
        <w:rPr>
          <w:rFonts w:asciiTheme="minorHAnsi" w:hAnsiTheme="minorHAnsi" w:cstheme="minorHAnsi"/>
          <w:b/>
          <w:bCs/>
          <w:color w:val="ED7D31" w:themeColor="accent2"/>
          <w:sz w:val="22"/>
          <w:szCs w:val="22"/>
          <w:shd w:val="clear" w:color="auto" w:fill="FFFFFF"/>
        </w:rPr>
        <w:t>ppel d’</w:t>
      </w:r>
      <w:r w:rsidR="00B768D9" w:rsidRPr="00AD7B96">
        <w:rPr>
          <w:rFonts w:asciiTheme="minorHAnsi" w:hAnsiTheme="minorHAnsi" w:cstheme="minorHAnsi"/>
          <w:b/>
          <w:bCs/>
          <w:color w:val="ED7D31" w:themeColor="accent2"/>
          <w:sz w:val="22"/>
          <w:szCs w:val="22"/>
          <w:shd w:val="clear" w:color="auto" w:fill="FFFFFF"/>
        </w:rPr>
        <w:t>O</w:t>
      </w:r>
      <w:r w:rsidRPr="00AD7B96">
        <w:rPr>
          <w:rFonts w:asciiTheme="minorHAnsi" w:hAnsiTheme="minorHAnsi" w:cstheme="minorHAnsi"/>
          <w:b/>
          <w:bCs/>
          <w:color w:val="ED7D31" w:themeColor="accent2"/>
          <w:sz w:val="22"/>
          <w:szCs w:val="22"/>
          <w:shd w:val="clear" w:color="auto" w:fill="FFFFFF"/>
        </w:rPr>
        <w:t>ffre de la</w:t>
      </w:r>
      <w:r w:rsidR="00B768D9" w:rsidRPr="00AD7B96">
        <w:rPr>
          <w:rFonts w:asciiTheme="minorHAnsi" w:hAnsiTheme="minorHAnsi" w:cstheme="minorHAnsi"/>
          <w:b/>
          <w:bCs/>
          <w:color w:val="ED7D31" w:themeColor="accent2"/>
          <w:sz w:val="22"/>
          <w:szCs w:val="22"/>
          <w:shd w:val="clear" w:color="auto" w:fill="FFFFFF"/>
        </w:rPr>
        <w:t xml:space="preserve"> </w:t>
      </w:r>
      <w:r w:rsidRPr="00AD7B96">
        <w:rPr>
          <w:rFonts w:asciiTheme="minorHAnsi" w:hAnsiTheme="minorHAnsi" w:cstheme="minorHAnsi"/>
          <w:b/>
          <w:bCs/>
          <w:color w:val="ED7D31" w:themeColor="accent2"/>
          <w:sz w:val="22"/>
          <w:szCs w:val="22"/>
          <w:shd w:val="clear" w:color="auto" w:fill="FFFFFF"/>
        </w:rPr>
        <w:t>Commission de régulation de l’énergie</w:t>
      </w:r>
      <w:r w:rsidR="005F3271" w:rsidRPr="00AD7B96">
        <w:rPr>
          <w:rFonts w:asciiTheme="minorHAnsi" w:hAnsiTheme="minorHAnsi" w:cstheme="minorHAnsi"/>
          <w:b/>
          <w:bCs/>
          <w:color w:val="ED7D31" w:themeColor="accent2"/>
          <w:sz w:val="22"/>
          <w:szCs w:val="22"/>
          <w:shd w:val="clear" w:color="auto" w:fill="FFFFFF"/>
        </w:rPr>
        <w:t xml:space="preserve"> </w:t>
      </w:r>
      <w:r w:rsidRPr="00AD7B96">
        <w:rPr>
          <w:rFonts w:asciiTheme="minorHAnsi" w:hAnsiTheme="minorHAnsi" w:cstheme="minorHAnsi"/>
          <w:b/>
          <w:bCs/>
          <w:color w:val="ED7D31" w:themeColor="accent2"/>
          <w:sz w:val="22"/>
          <w:szCs w:val="22"/>
          <w:shd w:val="clear" w:color="auto" w:fill="FFFFFF"/>
        </w:rPr>
        <w:t>(</w:t>
      </w:r>
      <w:r w:rsidR="00B768D9" w:rsidRPr="00AD7B96">
        <w:rPr>
          <w:rFonts w:asciiTheme="minorHAnsi" w:hAnsiTheme="minorHAnsi" w:cstheme="minorHAnsi"/>
          <w:b/>
          <w:bCs/>
          <w:color w:val="ED7D31" w:themeColor="accent2"/>
          <w:sz w:val="22"/>
          <w:szCs w:val="22"/>
          <w:shd w:val="clear" w:color="auto" w:fill="FFFFFF"/>
        </w:rPr>
        <w:t>CRE</w:t>
      </w:r>
      <w:r w:rsidRPr="00AD7B96">
        <w:rPr>
          <w:rFonts w:asciiTheme="minorHAnsi" w:hAnsiTheme="minorHAnsi" w:cstheme="minorHAnsi"/>
          <w:b/>
          <w:bCs/>
          <w:color w:val="ED7D31" w:themeColor="accent2"/>
          <w:sz w:val="22"/>
          <w:szCs w:val="22"/>
          <w:shd w:val="clear" w:color="auto" w:fill="FFFFFF"/>
        </w:rPr>
        <w:t>)</w:t>
      </w:r>
      <w:r w:rsidR="00B768D9" w:rsidRPr="00AD7B96">
        <w:rPr>
          <w:rFonts w:asciiTheme="minorHAnsi" w:hAnsiTheme="minorHAnsi" w:cstheme="minorHAnsi"/>
          <w:b/>
          <w:bCs/>
          <w:color w:val="ED7D31" w:themeColor="accent2"/>
          <w:sz w:val="22"/>
          <w:szCs w:val="22"/>
          <w:shd w:val="clear" w:color="auto" w:fill="FFFFFF"/>
        </w:rPr>
        <w:t xml:space="preserve"> toutefois les porteurs de projet peuvent faire valoir l'intérêt pour le projet d'être développé dans le cadre d'un A</w:t>
      </w:r>
      <w:r w:rsidRPr="00AD7B96">
        <w:rPr>
          <w:rFonts w:asciiTheme="minorHAnsi" w:hAnsiTheme="minorHAnsi" w:cstheme="minorHAnsi"/>
          <w:b/>
          <w:bCs/>
          <w:color w:val="ED7D31" w:themeColor="accent2"/>
          <w:sz w:val="22"/>
          <w:szCs w:val="22"/>
          <w:shd w:val="clear" w:color="auto" w:fill="FFFFFF"/>
        </w:rPr>
        <w:t>ppel d’</w:t>
      </w:r>
      <w:r w:rsidR="00B768D9" w:rsidRPr="00AD7B96">
        <w:rPr>
          <w:rFonts w:asciiTheme="minorHAnsi" w:hAnsiTheme="minorHAnsi" w:cstheme="minorHAnsi"/>
          <w:b/>
          <w:bCs/>
          <w:color w:val="ED7D31" w:themeColor="accent2"/>
          <w:sz w:val="22"/>
          <w:szCs w:val="22"/>
          <w:shd w:val="clear" w:color="auto" w:fill="FFFFFF"/>
        </w:rPr>
        <w:t>O</w:t>
      </w:r>
      <w:r w:rsidRPr="00AD7B96">
        <w:rPr>
          <w:rFonts w:asciiTheme="minorHAnsi" w:hAnsiTheme="minorHAnsi" w:cstheme="minorHAnsi"/>
          <w:b/>
          <w:bCs/>
          <w:color w:val="ED7D31" w:themeColor="accent2"/>
          <w:sz w:val="22"/>
          <w:szCs w:val="22"/>
          <w:shd w:val="clear" w:color="auto" w:fill="FFFFFF"/>
        </w:rPr>
        <w:t>ffre de la</w:t>
      </w:r>
      <w:r w:rsidR="00B768D9" w:rsidRPr="00AD7B96">
        <w:rPr>
          <w:rFonts w:asciiTheme="minorHAnsi" w:hAnsiTheme="minorHAnsi" w:cstheme="minorHAnsi"/>
          <w:b/>
          <w:bCs/>
          <w:color w:val="ED7D31" w:themeColor="accent2"/>
          <w:sz w:val="22"/>
          <w:szCs w:val="22"/>
          <w:shd w:val="clear" w:color="auto" w:fill="FFFFFF"/>
        </w:rPr>
        <w:t xml:space="preserve"> CRE</w:t>
      </w:r>
      <w:r w:rsidRPr="00AD7B96">
        <w:rPr>
          <w:rFonts w:asciiTheme="minorHAnsi" w:hAnsiTheme="minorHAnsi" w:cstheme="minorHAnsi"/>
          <w:b/>
          <w:bCs/>
          <w:color w:val="ED7D31" w:themeColor="accent2"/>
          <w:sz w:val="22"/>
          <w:szCs w:val="22"/>
          <w:shd w:val="clear" w:color="auto" w:fill="FFFFFF"/>
        </w:rPr>
        <w:t>.</w:t>
      </w:r>
    </w:p>
    <w:p w14:paraId="14C3BB70" w14:textId="080D8F16" w:rsidR="00507AC5" w:rsidRPr="00AD7B96" w:rsidRDefault="00507AC5" w:rsidP="00BC476A">
      <w:pPr>
        <w:pStyle w:val="xmsonormal"/>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rPr>
      </w:pPr>
      <w:r w:rsidRPr="00AD7B96">
        <w:rPr>
          <w:rFonts w:asciiTheme="minorHAnsi" w:hAnsiTheme="minorHAnsi" w:cstheme="minorHAnsi"/>
          <w:color w:val="242424"/>
          <w:sz w:val="22"/>
          <w:szCs w:val="22"/>
          <w:bdr w:val="none" w:sz="0" w:space="0" w:color="auto" w:frame="1"/>
        </w:rPr>
        <w:t>Il est indiqué en page 7 – paragraphe 1.6 « Le Candidat dont l’offre a été retenue constitue une garantie financière d’exécution à première demande et émise au profit de la Ville par un établissement bancaire agréé. Cette garantie doit être établie dans un délai de deux mois à compter de la date de désignation. La durée de cette garantie est égale à dix-huit (18) mois ». Cela sous-entend-il que la garantie ne sera pas restituée si (i) La phase de développement du projet (obtention d’un permis de construire purgé de tout recours ou candidature du projet à l’AO CRE) dure plus de 18 mois, le développement du projet (études, instruction, autorisation du dossier, levée des éventuels recours) durant plus de 2 ans ? (ii) Le projet fait l’objet d’un refus de permis de construire ?</w:t>
      </w:r>
    </w:p>
    <w:p w14:paraId="42C622A8" w14:textId="23830AE2" w:rsidR="00AD7B96" w:rsidRPr="00AD7B96" w:rsidRDefault="00AD7B96" w:rsidP="00BC476A">
      <w:pPr>
        <w:shd w:val="clear" w:color="auto" w:fill="FFFFFF"/>
        <w:spacing w:after="0" w:line="360" w:lineRule="auto"/>
        <w:jc w:val="both"/>
        <w:textAlignment w:val="baseline"/>
        <w:rPr>
          <w:rFonts w:eastAsia="Times New Roman" w:cstheme="minorHAnsi"/>
          <w:b/>
          <w:bCs/>
          <w:color w:val="ED7D31" w:themeColor="accent2"/>
          <w:lang w:eastAsia="fr-FR"/>
        </w:rPr>
      </w:pPr>
      <w:r w:rsidRPr="00AD7B96">
        <w:rPr>
          <w:rFonts w:eastAsia="Times New Roman" w:cstheme="minorHAnsi"/>
          <w:b/>
          <w:bCs/>
          <w:color w:val="ED7D31" w:themeColor="accent2"/>
          <w:lang w:eastAsia="fr-FR"/>
        </w:rPr>
        <w:lastRenderedPageBreak/>
        <w:t>Les candidats doivent fournir au moins 18 mois de garantie et ils prolongeront autant que nécessaire jusqu'à l'une des conditions suspensives.</w:t>
      </w:r>
      <w:r>
        <w:rPr>
          <w:rFonts w:eastAsia="Times New Roman" w:cstheme="minorHAnsi"/>
          <w:b/>
          <w:bCs/>
          <w:color w:val="ED7D31" w:themeColor="accent2"/>
          <w:lang w:eastAsia="fr-FR"/>
        </w:rPr>
        <w:t xml:space="preserve"> </w:t>
      </w:r>
      <w:r w:rsidRPr="00AD7B96">
        <w:rPr>
          <w:rFonts w:eastAsia="Times New Roman" w:cstheme="minorHAnsi"/>
          <w:b/>
          <w:bCs/>
          <w:color w:val="ED7D31" w:themeColor="accent2"/>
          <w:lang w:eastAsia="fr-FR"/>
        </w:rPr>
        <w:t>Le but de la garanti</w:t>
      </w:r>
      <w:r>
        <w:rPr>
          <w:rFonts w:eastAsia="Times New Roman" w:cstheme="minorHAnsi"/>
          <w:b/>
          <w:bCs/>
          <w:color w:val="ED7D31" w:themeColor="accent2"/>
          <w:lang w:eastAsia="fr-FR"/>
        </w:rPr>
        <w:t>e</w:t>
      </w:r>
      <w:r w:rsidRPr="00AD7B96">
        <w:rPr>
          <w:rFonts w:eastAsia="Times New Roman" w:cstheme="minorHAnsi"/>
          <w:b/>
          <w:bCs/>
          <w:color w:val="ED7D31" w:themeColor="accent2"/>
          <w:lang w:eastAsia="fr-FR"/>
        </w:rPr>
        <w:t xml:space="preserve"> est de préserv</w:t>
      </w:r>
      <w:r w:rsidR="001A21B8">
        <w:rPr>
          <w:rFonts w:eastAsia="Times New Roman" w:cstheme="minorHAnsi"/>
          <w:b/>
          <w:bCs/>
          <w:color w:val="ED7D31" w:themeColor="accent2"/>
          <w:lang w:eastAsia="fr-FR"/>
        </w:rPr>
        <w:t>er</w:t>
      </w:r>
      <w:r w:rsidRPr="00AD7B96">
        <w:rPr>
          <w:rFonts w:eastAsia="Times New Roman" w:cstheme="minorHAnsi"/>
          <w:b/>
          <w:bCs/>
          <w:color w:val="ED7D31" w:themeColor="accent2"/>
          <w:lang w:eastAsia="fr-FR"/>
        </w:rPr>
        <w:t xml:space="preserve"> la commune d'un abandon unilatéral du projet par l'opérateur.</w:t>
      </w:r>
    </w:p>
    <w:p w14:paraId="4D6FBA82" w14:textId="77777777" w:rsidR="001629B1" w:rsidRPr="00AD7B96" w:rsidRDefault="00A02CA6" w:rsidP="00BC476A">
      <w:pPr>
        <w:pStyle w:val="xxmsolistparagraph"/>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rPr>
      </w:pPr>
      <w:r w:rsidRPr="00AD7B96">
        <w:rPr>
          <w:rFonts w:asciiTheme="minorHAnsi" w:hAnsiTheme="minorHAnsi" w:cstheme="minorHAnsi"/>
          <w:color w:val="242424"/>
          <w:sz w:val="22"/>
          <w:szCs w:val="22"/>
        </w:rPr>
        <w:t>Il est indiqué à l’article 1.5 du cahier des charges que le candidat adresse une proposition de bail pour la valorisation du terrain, sur une durée de 30 ans. Pouvons-nous proposer une durée de bail supérieure permettant d’y inclure les phases de construction de la centrale et de démantèlement (par exemple à 32 ou 33 ans) ? </w:t>
      </w:r>
    </w:p>
    <w:p w14:paraId="2D43085E" w14:textId="754554C5" w:rsidR="00A02CA6" w:rsidRPr="00AD7B96" w:rsidRDefault="00FD6DDD" w:rsidP="00BC476A">
      <w:pPr>
        <w:pStyle w:val="xxmsolistparagraph"/>
        <w:shd w:val="clear" w:color="auto" w:fill="FFFFFF"/>
        <w:spacing w:before="0" w:beforeAutospacing="0" w:after="0" w:afterAutospacing="0" w:line="360" w:lineRule="auto"/>
        <w:jc w:val="both"/>
        <w:rPr>
          <w:rFonts w:asciiTheme="minorHAnsi" w:hAnsiTheme="minorHAnsi" w:cstheme="minorHAnsi"/>
          <w:b/>
          <w:bCs/>
          <w:color w:val="ED7D31" w:themeColor="accent2"/>
          <w:sz w:val="22"/>
          <w:szCs w:val="22"/>
        </w:rPr>
      </w:pPr>
      <w:r w:rsidRPr="00AD7B96">
        <w:rPr>
          <w:rFonts w:asciiTheme="minorHAnsi" w:hAnsiTheme="minorHAnsi" w:cstheme="minorHAnsi"/>
          <w:b/>
          <w:bCs/>
          <w:color w:val="ED7D31" w:themeColor="accent2"/>
          <w:sz w:val="22"/>
          <w:szCs w:val="22"/>
          <w:bdr w:val="none" w:sz="0" w:space="0" w:color="auto" w:frame="1"/>
        </w:rPr>
        <w:t>Cela pourrait être abordé dans les négociations avec les candidats. En effet, s</w:t>
      </w:r>
      <w:r w:rsidR="00A02CA6" w:rsidRPr="00AD7B96">
        <w:rPr>
          <w:rFonts w:asciiTheme="minorHAnsi" w:hAnsiTheme="minorHAnsi" w:cstheme="minorHAnsi"/>
          <w:b/>
          <w:bCs/>
          <w:color w:val="ED7D31" w:themeColor="accent2"/>
          <w:sz w:val="22"/>
          <w:szCs w:val="22"/>
          <w:bdr w:val="none" w:sz="0" w:space="0" w:color="auto" w:frame="1"/>
        </w:rPr>
        <w:t xml:space="preserve">i la </w:t>
      </w:r>
      <w:r w:rsidR="00D93B24" w:rsidRPr="00AD7B96">
        <w:rPr>
          <w:rFonts w:asciiTheme="minorHAnsi" w:hAnsiTheme="minorHAnsi" w:cstheme="minorHAnsi"/>
          <w:b/>
          <w:bCs/>
          <w:color w:val="ED7D31" w:themeColor="accent2"/>
          <w:sz w:val="22"/>
          <w:szCs w:val="22"/>
          <w:bdr w:val="none" w:sz="0" w:space="0" w:color="auto" w:frame="1"/>
        </w:rPr>
        <w:t xml:space="preserve">signature du </w:t>
      </w:r>
      <w:r w:rsidR="00A02CA6" w:rsidRPr="00AD7B96">
        <w:rPr>
          <w:rFonts w:asciiTheme="minorHAnsi" w:hAnsiTheme="minorHAnsi" w:cstheme="minorHAnsi"/>
          <w:b/>
          <w:bCs/>
          <w:color w:val="ED7D31" w:themeColor="accent2"/>
          <w:sz w:val="22"/>
          <w:szCs w:val="22"/>
          <w:bdr w:val="none" w:sz="0" w:space="0" w:color="auto" w:frame="1"/>
        </w:rPr>
        <w:t xml:space="preserve">bail </w:t>
      </w:r>
      <w:r w:rsidR="00D93B24" w:rsidRPr="00AD7B96">
        <w:rPr>
          <w:rFonts w:asciiTheme="minorHAnsi" w:hAnsiTheme="minorHAnsi" w:cstheme="minorHAnsi"/>
          <w:b/>
          <w:bCs/>
          <w:color w:val="ED7D31" w:themeColor="accent2"/>
          <w:sz w:val="22"/>
          <w:szCs w:val="22"/>
          <w:bdr w:val="none" w:sz="0" w:space="0" w:color="auto" w:frame="1"/>
        </w:rPr>
        <w:t xml:space="preserve">a lieu avant la construction de la centrale et que la Commune </w:t>
      </w:r>
      <w:r w:rsidR="00A02CA6" w:rsidRPr="00AD7B96">
        <w:rPr>
          <w:rFonts w:asciiTheme="minorHAnsi" w:hAnsiTheme="minorHAnsi" w:cstheme="minorHAnsi"/>
          <w:b/>
          <w:bCs/>
          <w:color w:val="ED7D31" w:themeColor="accent2"/>
          <w:sz w:val="22"/>
          <w:szCs w:val="22"/>
          <w:bdr w:val="none" w:sz="0" w:space="0" w:color="auto" w:frame="1"/>
        </w:rPr>
        <w:t>per</w:t>
      </w:r>
      <w:r w:rsidR="00D93B24" w:rsidRPr="00AD7B96">
        <w:rPr>
          <w:rFonts w:asciiTheme="minorHAnsi" w:hAnsiTheme="minorHAnsi" w:cstheme="minorHAnsi"/>
          <w:b/>
          <w:bCs/>
          <w:color w:val="ED7D31" w:themeColor="accent2"/>
          <w:sz w:val="22"/>
          <w:szCs w:val="22"/>
          <w:bdr w:val="none" w:sz="0" w:space="0" w:color="auto" w:frame="1"/>
        </w:rPr>
        <w:t>çoit un</w:t>
      </w:r>
      <w:r w:rsidR="00A02CA6" w:rsidRPr="00AD7B96">
        <w:rPr>
          <w:rFonts w:asciiTheme="minorHAnsi" w:hAnsiTheme="minorHAnsi" w:cstheme="minorHAnsi"/>
          <w:b/>
          <w:bCs/>
          <w:color w:val="ED7D31" w:themeColor="accent2"/>
          <w:sz w:val="22"/>
          <w:szCs w:val="22"/>
          <w:bdr w:val="none" w:sz="0" w:space="0" w:color="auto" w:frame="1"/>
        </w:rPr>
        <w:t xml:space="preserve"> loyer</w:t>
      </w:r>
      <w:r w:rsidR="001A21B8">
        <w:rPr>
          <w:rFonts w:asciiTheme="minorHAnsi" w:hAnsiTheme="minorHAnsi" w:cstheme="minorHAnsi"/>
          <w:b/>
          <w:bCs/>
          <w:color w:val="ED7D31" w:themeColor="accent2"/>
          <w:sz w:val="22"/>
          <w:szCs w:val="22"/>
          <w:bdr w:val="none" w:sz="0" w:space="0" w:color="auto" w:frame="1"/>
        </w:rPr>
        <w:t>,</w:t>
      </w:r>
      <w:r w:rsidR="00A02CA6" w:rsidRPr="00AD7B96">
        <w:rPr>
          <w:rFonts w:asciiTheme="minorHAnsi" w:hAnsiTheme="minorHAnsi" w:cstheme="minorHAnsi"/>
          <w:b/>
          <w:bCs/>
          <w:color w:val="ED7D31" w:themeColor="accent2"/>
          <w:sz w:val="22"/>
          <w:szCs w:val="22"/>
          <w:bdr w:val="none" w:sz="0" w:space="0" w:color="auto" w:frame="1"/>
        </w:rPr>
        <w:t xml:space="preserve"> </w:t>
      </w:r>
      <w:r w:rsidR="00D93B24" w:rsidRPr="00AD7B96">
        <w:rPr>
          <w:rFonts w:asciiTheme="minorHAnsi" w:hAnsiTheme="minorHAnsi" w:cstheme="minorHAnsi"/>
          <w:b/>
          <w:bCs/>
          <w:color w:val="ED7D31" w:themeColor="accent2"/>
          <w:sz w:val="22"/>
          <w:szCs w:val="22"/>
          <w:bdr w:val="none" w:sz="0" w:space="0" w:color="auto" w:frame="1"/>
        </w:rPr>
        <w:t>la durée du bail peut être augmentée</w:t>
      </w:r>
      <w:r w:rsidR="00A02CA6" w:rsidRPr="00AD7B96">
        <w:rPr>
          <w:rFonts w:asciiTheme="minorHAnsi" w:hAnsiTheme="minorHAnsi" w:cstheme="minorHAnsi"/>
          <w:b/>
          <w:bCs/>
          <w:color w:val="ED7D31" w:themeColor="accent2"/>
          <w:sz w:val="22"/>
          <w:szCs w:val="22"/>
          <w:bdr w:val="none" w:sz="0" w:space="0" w:color="auto" w:frame="1"/>
        </w:rPr>
        <w:t xml:space="preserve">. </w:t>
      </w:r>
      <w:r w:rsidR="00D93B24" w:rsidRPr="00AD7B96">
        <w:rPr>
          <w:rFonts w:asciiTheme="minorHAnsi" w:hAnsiTheme="minorHAnsi" w:cstheme="minorHAnsi"/>
          <w:b/>
          <w:bCs/>
          <w:color w:val="ED7D31" w:themeColor="accent2"/>
          <w:sz w:val="22"/>
          <w:szCs w:val="22"/>
          <w:bdr w:val="none" w:sz="0" w:space="0" w:color="auto" w:frame="1"/>
        </w:rPr>
        <w:t>Néanmoins s</w:t>
      </w:r>
      <w:r w:rsidR="00A02CA6" w:rsidRPr="00AD7B96">
        <w:rPr>
          <w:rFonts w:asciiTheme="minorHAnsi" w:hAnsiTheme="minorHAnsi" w:cstheme="minorHAnsi"/>
          <w:b/>
          <w:bCs/>
          <w:color w:val="ED7D31" w:themeColor="accent2"/>
          <w:sz w:val="22"/>
          <w:szCs w:val="22"/>
          <w:bdr w:val="none" w:sz="0" w:space="0" w:color="auto" w:frame="1"/>
        </w:rPr>
        <w:t>i le bail n'est signé que pour le démarrage des travaux c'est le seul délai acceptable.</w:t>
      </w:r>
    </w:p>
    <w:p w14:paraId="53BBEEB9" w14:textId="77777777" w:rsidR="001629B1" w:rsidRPr="00AD7B96" w:rsidRDefault="00A02CA6" w:rsidP="00BC476A">
      <w:pPr>
        <w:pStyle w:val="xxmsolistparagraph"/>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rPr>
      </w:pPr>
      <w:r w:rsidRPr="00AD7B96">
        <w:rPr>
          <w:rFonts w:asciiTheme="minorHAnsi" w:hAnsiTheme="minorHAnsi" w:cstheme="minorHAnsi"/>
          <w:color w:val="242424"/>
          <w:sz w:val="22"/>
          <w:szCs w:val="22"/>
        </w:rPr>
        <w:t xml:space="preserve">Il est indiqué au paragraphe 1.3 de respecter les « prescriptions du PPRIF sur les essences de végétaux dans la zone concernée ». Il semble que la commune de Septèmes-les-Vallons ne soit pas soumise à un PPRIF (cf. carte ci-jointe issue du site web de la préfecture des </w:t>
      </w:r>
      <w:proofErr w:type="spellStart"/>
      <w:r w:rsidRPr="00AD7B96">
        <w:rPr>
          <w:rFonts w:asciiTheme="minorHAnsi" w:hAnsiTheme="minorHAnsi" w:cstheme="minorHAnsi"/>
          <w:color w:val="242424"/>
          <w:sz w:val="22"/>
          <w:szCs w:val="22"/>
        </w:rPr>
        <w:t>BdR</w:t>
      </w:r>
      <w:proofErr w:type="spellEnd"/>
      <w:r w:rsidRPr="00AD7B96">
        <w:rPr>
          <w:rFonts w:asciiTheme="minorHAnsi" w:hAnsiTheme="minorHAnsi" w:cstheme="minorHAnsi"/>
          <w:color w:val="242424"/>
          <w:sz w:val="22"/>
          <w:szCs w:val="22"/>
        </w:rPr>
        <w:t>). Dans le cas contraire, pouvez-vous porter à connaissance ces éléments ?</w:t>
      </w:r>
      <w:r w:rsidRPr="00AD7B96">
        <w:rPr>
          <w:rFonts w:asciiTheme="minorHAnsi" w:hAnsiTheme="minorHAnsi" w:cstheme="minorHAnsi"/>
          <w:b/>
          <w:bCs/>
          <w:color w:val="ED7D31" w:themeColor="accent2"/>
          <w:sz w:val="22"/>
          <w:szCs w:val="22"/>
        </w:rPr>
        <w:t> </w:t>
      </w:r>
    </w:p>
    <w:p w14:paraId="70414AA0" w14:textId="4A857D16" w:rsidR="00A02CA6" w:rsidRPr="00AD7B96" w:rsidRDefault="001629B1" w:rsidP="00BC476A">
      <w:pPr>
        <w:pStyle w:val="xxmsolistparagraph"/>
        <w:shd w:val="clear" w:color="auto" w:fill="FFFFFF"/>
        <w:spacing w:before="0" w:beforeAutospacing="0" w:after="0" w:afterAutospacing="0" w:line="360" w:lineRule="auto"/>
        <w:jc w:val="both"/>
        <w:rPr>
          <w:rFonts w:asciiTheme="minorHAnsi" w:hAnsiTheme="minorHAnsi" w:cstheme="minorHAnsi"/>
          <w:color w:val="242424"/>
          <w:sz w:val="22"/>
          <w:szCs w:val="22"/>
        </w:rPr>
      </w:pPr>
      <w:r w:rsidRPr="00AD7B96">
        <w:rPr>
          <w:rFonts w:asciiTheme="minorHAnsi" w:hAnsiTheme="minorHAnsi" w:cstheme="minorHAnsi"/>
          <w:b/>
          <w:bCs/>
          <w:color w:val="ED7D31" w:themeColor="accent2"/>
          <w:sz w:val="22"/>
          <w:szCs w:val="22"/>
        </w:rPr>
        <w:t xml:space="preserve">Il s’agit d’une coquille. Effectivement la Commune n’est pas soumise à un PPRIF. </w:t>
      </w:r>
    </w:p>
    <w:p w14:paraId="0C7FB60F" w14:textId="77777777" w:rsidR="00FD6DDD" w:rsidRPr="00AD7B96" w:rsidRDefault="00A02CA6" w:rsidP="00BC476A">
      <w:pPr>
        <w:pStyle w:val="xxmsonormal"/>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rPr>
      </w:pPr>
      <w:r w:rsidRPr="00AD7B96">
        <w:rPr>
          <w:rFonts w:asciiTheme="minorHAnsi" w:hAnsiTheme="minorHAnsi" w:cstheme="minorHAnsi"/>
          <w:color w:val="242424"/>
          <w:sz w:val="22"/>
          <w:szCs w:val="22"/>
          <w:bdr w:val="none" w:sz="0" w:space="0" w:color="auto" w:frame="1"/>
        </w:rPr>
        <w:t>Au paragraphe 3.2 est indiqué que l’analyse des candidature</w:t>
      </w:r>
      <w:r w:rsidR="008A7C15" w:rsidRPr="00AD7B96">
        <w:rPr>
          <w:rFonts w:asciiTheme="minorHAnsi" w:hAnsiTheme="minorHAnsi" w:cstheme="minorHAnsi"/>
          <w:color w:val="242424"/>
          <w:sz w:val="22"/>
          <w:szCs w:val="22"/>
          <w:bdr w:val="none" w:sz="0" w:space="0" w:color="auto" w:frame="1"/>
        </w:rPr>
        <w:t>s</w:t>
      </w:r>
      <w:r w:rsidRPr="00AD7B96">
        <w:rPr>
          <w:rFonts w:asciiTheme="minorHAnsi" w:hAnsiTheme="minorHAnsi" w:cstheme="minorHAnsi"/>
          <w:color w:val="242424"/>
          <w:sz w:val="22"/>
          <w:szCs w:val="22"/>
          <w:bdr w:val="none" w:sz="0" w:space="0" w:color="auto" w:frame="1"/>
        </w:rPr>
        <w:t xml:space="preserve"> se fera notamment selon la « pertinence et cohérence de l’offre avec le projet municipal ». Pouvez-vous expliciter quel est ce projet municipal ? </w:t>
      </w:r>
    </w:p>
    <w:p w14:paraId="13D8CE8B" w14:textId="08C4B31B" w:rsidR="00A02CA6" w:rsidRDefault="00E17328" w:rsidP="00BC476A">
      <w:pPr>
        <w:pStyle w:val="xxmsonormal"/>
        <w:shd w:val="clear" w:color="auto" w:fill="FFFFFF"/>
        <w:spacing w:before="0" w:beforeAutospacing="0" w:after="0" w:afterAutospacing="0" w:line="360" w:lineRule="auto"/>
        <w:jc w:val="both"/>
        <w:rPr>
          <w:rFonts w:asciiTheme="minorHAnsi" w:hAnsiTheme="minorHAnsi" w:cstheme="minorHAnsi"/>
          <w:b/>
          <w:bCs/>
          <w:color w:val="ED7D31" w:themeColor="accent2"/>
          <w:sz w:val="22"/>
          <w:szCs w:val="22"/>
          <w:bdr w:val="none" w:sz="0" w:space="0" w:color="auto" w:frame="1"/>
        </w:rPr>
      </w:pPr>
      <w:r w:rsidRPr="00AD7B96">
        <w:rPr>
          <w:rFonts w:asciiTheme="minorHAnsi" w:hAnsiTheme="minorHAnsi" w:cstheme="minorHAnsi"/>
          <w:b/>
          <w:bCs/>
          <w:color w:val="ED7D31" w:themeColor="accent2"/>
          <w:sz w:val="22"/>
          <w:szCs w:val="22"/>
          <w:bdr w:val="none" w:sz="0" w:space="0" w:color="auto" w:frame="1"/>
        </w:rPr>
        <w:t xml:space="preserve">La Commune </w:t>
      </w:r>
      <w:r w:rsidR="00A02CA6" w:rsidRPr="00AD7B96">
        <w:rPr>
          <w:rFonts w:asciiTheme="minorHAnsi" w:hAnsiTheme="minorHAnsi" w:cstheme="minorHAnsi"/>
          <w:b/>
          <w:bCs/>
          <w:color w:val="ED7D31" w:themeColor="accent2"/>
          <w:sz w:val="22"/>
          <w:szCs w:val="22"/>
          <w:bdr w:val="none" w:sz="0" w:space="0" w:color="auto" w:frame="1"/>
        </w:rPr>
        <w:t xml:space="preserve">attend </w:t>
      </w:r>
      <w:r w:rsidR="009D5DAC" w:rsidRPr="00AD7B96">
        <w:rPr>
          <w:rFonts w:asciiTheme="minorHAnsi" w:hAnsiTheme="minorHAnsi" w:cstheme="minorHAnsi"/>
          <w:b/>
          <w:bCs/>
          <w:color w:val="ED7D31" w:themeColor="accent2"/>
          <w:sz w:val="22"/>
          <w:szCs w:val="22"/>
          <w:bdr w:val="none" w:sz="0" w:space="0" w:color="auto" w:frame="1"/>
        </w:rPr>
        <w:t>les meilleures retombées économiques</w:t>
      </w:r>
      <w:r w:rsidR="00A02CA6" w:rsidRPr="00AD7B96">
        <w:rPr>
          <w:rFonts w:asciiTheme="minorHAnsi" w:hAnsiTheme="minorHAnsi" w:cstheme="minorHAnsi"/>
          <w:b/>
          <w:bCs/>
          <w:color w:val="ED7D31" w:themeColor="accent2"/>
          <w:sz w:val="22"/>
          <w:szCs w:val="22"/>
          <w:bdr w:val="none" w:sz="0" w:space="0" w:color="auto" w:frame="1"/>
        </w:rPr>
        <w:t xml:space="preserve"> possible</w:t>
      </w:r>
      <w:r w:rsidR="001A21B8">
        <w:rPr>
          <w:rFonts w:asciiTheme="minorHAnsi" w:hAnsiTheme="minorHAnsi" w:cstheme="minorHAnsi"/>
          <w:b/>
          <w:bCs/>
          <w:color w:val="ED7D31" w:themeColor="accent2"/>
          <w:sz w:val="22"/>
          <w:szCs w:val="22"/>
          <w:bdr w:val="none" w:sz="0" w:space="0" w:color="auto" w:frame="1"/>
        </w:rPr>
        <w:t>s.</w:t>
      </w:r>
    </w:p>
    <w:p w14:paraId="7CBB8C79" w14:textId="77777777" w:rsidR="009D5DAC" w:rsidRPr="009D5DAC" w:rsidRDefault="009D5DAC" w:rsidP="009D5DAC">
      <w:pPr>
        <w:pStyle w:val="xxmsonormal"/>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bdr w:val="none" w:sz="0" w:space="0" w:color="auto" w:frame="1"/>
        </w:rPr>
      </w:pPr>
      <w:r w:rsidRPr="009D5DAC">
        <w:rPr>
          <w:rFonts w:asciiTheme="minorHAnsi" w:hAnsiTheme="minorHAnsi" w:cstheme="minorHAnsi"/>
          <w:color w:val="242424"/>
          <w:sz w:val="22"/>
          <w:szCs w:val="22"/>
          <w:bdr w:val="none" w:sz="0" w:space="0" w:color="auto" w:frame="1"/>
        </w:rPr>
        <w:t>Suite au cahier des charges de l’AMI Centrale au sol sur la commune il est précisé page 3 que la surface utile est de 11,7 ha mais elle n’est pas localisée exactement.</w:t>
      </w:r>
    </w:p>
    <w:p w14:paraId="326CD356" w14:textId="66FBED34" w:rsidR="009D5DAC" w:rsidRDefault="009D5DAC" w:rsidP="009D5DAC">
      <w:pPr>
        <w:pStyle w:val="xxmsonormal"/>
        <w:shd w:val="clear" w:color="auto" w:fill="FFFFFF"/>
        <w:spacing w:before="0" w:beforeAutospacing="0" w:after="0" w:afterAutospacing="0" w:line="360" w:lineRule="auto"/>
        <w:ind w:left="720"/>
        <w:jc w:val="both"/>
        <w:rPr>
          <w:rFonts w:asciiTheme="minorHAnsi" w:hAnsiTheme="minorHAnsi" w:cstheme="minorHAnsi"/>
          <w:color w:val="242424"/>
          <w:sz w:val="22"/>
          <w:szCs w:val="22"/>
          <w:bdr w:val="none" w:sz="0" w:space="0" w:color="auto" w:frame="1"/>
        </w:rPr>
      </w:pPr>
      <w:r w:rsidRPr="009D5DAC">
        <w:rPr>
          <w:rFonts w:asciiTheme="minorHAnsi" w:hAnsiTheme="minorHAnsi" w:cstheme="minorHAnsi"/>
          <w:color w:val="242424"/>
          <w:sz w:val="22"/>
          <w:szCs w:val="22"/>
          <w:bdr w:val="none" w:sz="0" w:space="0" w:color="auto" w:frame="1"/>
        </w:rPr>
        <w:t>Est-il possible de savoir où correspond cette surface de 11.7 ha.</w:t>
      </w:r>
    </w:p>
    <w:p w14:paraId="69C7D82D" w14:textId="0C141EA2" w:rsidR="009D5DAC" w:rsidRDefault="009D5DAC" w:rsidP="009D5DAC">
      <w:pPr>
        <w:pStyle w:val="xxmsonormal"/>
        <w:shd w:val="clear" w:color="auto" w:fill="FFFFFF"/>
        <w:spacing w:before="0" w:beforeAutospacing="0" w:after="0" w:afterAutospacing="0" w:line="360" w:lineRule="auto"/>
        <w:jc w:val="both"/>
        <w:rPr>
          <w:rFonts w:asciiTheme="minorHAnsi" w:hAnsiTheme="minorHAnsi" w:cstheme="minorHAnsi"/>
          <w:b/>
          <w:bCs/>
          <w:color w:val="ED7D31" w:themeColor="accent2"/>
          <w:sz w:val="22"/>
          <w:szCs w:val="22"/>
          <w:bdr w:val="none" w:sz="0" w:space="0" w:color="auto" w:frame="1"/>
        </w:rPr>
      </w:pPr>
      <w:r w:rsidRPr="009D5DAC">
        <w:rPr>
          <w:rFonts w:asciiTheme="minorHAnsi" w:hAnsiTheme="minorHAnsi" w:cstheme="minorHAnsi"/>
          <w:b/>
          <w:bCs/>
          <w:color w:val="ED7D31" w:themeColor="accent2"/>
          <w:sz w:val="22"/>
          <w:szCs w:val="22"/>
          <w:bdr w:val="none" w:sz="0" w:space="0" w:color="auto" w:frame="1"/>
        </w:rPr>
        <w:t>Cf réponses aux questions n°1 et 2</w:t>
      </w:r>
    </w:p>
    <w:p w14:paraId="513E16B1" w14:textId="5ADC4346" w:rsidR="00782D3A" w:rsidRDefault="00782D3A" w:rsidP="00782D3A">
      <w:pPr>
        <w:pStyle w:val="xxmsonormal"/>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bdr w:val="none" w:sz="0" w:space="0" w:color="auto" w:frame="1"/>
        </w:rPr>
      </w:pPr>
      <w:r w:rsidRPr="00782D3A">
        <w:rPr>
          <w:rFonts w:asciiTheme="minorHAnsi" w:hAnsiTheme="minorHAnsi" w:cstheme="minorHAnsi"/>
          <w:color w:val="242424"/>
          <w:sz w:val="22"/>
          <w:szCs w:val="22"/>
          <w:bdr w:val="none" w:sz="0" w:space="0" w:color="auto" w:frame="1"/>
        </w:rPr>
        <w:t xml:space="preserve"> En bas de la page 7 : pouvez-vous préciser ce que vous entendez par la prise en charge des études et dossiers pour la mise en compatibilité du PLUi ? </w:t>
      </w:r>
    </w:p>
    <w:p w14:paraId="2C822D63" w14:textId="191409C8" w:rsidR="00782D3A" w:rsidRDefault="00782D3A" w:rsidP="00782D3A">
      <w:pPr>
        <w:pStyle w:val="xxmsonormal"/>
        <w:shd w:val="clear" w:color="auto" w:fill="FFFFFF"/>
        <w:spacing w:before="0" w:beforeAutospacing="0" w:after="0" w:afterAutospacing="0" w:line="360" w:lineRule="auto"/>
        <w:ind w:left="360"/>
        <w:jc w:val="both"/>
        <w:rPr>
          <w:rFonts w:asciiTheme="minorHAnsi" w:hAnsiTheme="minorHAnsi" w:cstheme="minorHAnsi"/>
          <w:color w:val="242424"/>
          <w:sz w:val="22"/>
          <w:szCs w:val="22"/>
          <w:bdr w:val="none" w:sz="0" w:space="0" w:color="auto" w:frame="1"/>
        </w:rPr>
      </w:pPr>
      <w:r>
        <w:rPr>
          <w:rFonts w:asciiTheme="minorHAnsi" w:hAnsiTheme="minorHAnsi" w:cstheme="minorHAnsi"/>
          <w:color w:val="242424"/>
          <w:sz w:val="22"/>
          <w:szCs w:val="22"/>
          <w:bdr w:val="none" w:sz="0" w:space="0" w:color="auto" w:frame="1"/>
        </w:rPr>
        <w:t>-</w:t>
      </w:r>
      <w:r w:rsidRPr="00782D3A">
        <w:rPr>
          <w:rFonts w:asciiTheme="minorHAnsi" w:hAnsiTheme="minorHAnsi" w:cstheme="minorHAnsi"/>
          <w:color w:val="242424"/>
          <w:sz w:val="22"/>
          <w:szCs w:val="22"/>
          <w:bdr w:val="none" w:sz="0" w:space="0" w:color="auto" w:frame="1"/>
        </w:rPr>
        <w:t xml:space="preserve"> </w:t>
      </w:r>
      <w:r w:rsidRPr="00782D3A">
        <w:rPr>
          <w:rFonts w:asciiTheme="minorHAnsi" w:hAnsiTheme="minorHAnsi" w:cstheme="minorHAnsi"/>
          <w:color w:val="242424"/>
          <w:sz w:val="22"/>
          <w:szCs w:val="22"/>
          <w:bdr w:val="none" w:sz="0" w:space="0" w:color="auto" w:frame="1"/>
        </w:rPr>
        <w:tab/>
        <w:t>à notre connaissance, une adaptation du PLU (ou PLUi) est forcément sous maîtrise d'ouvrage de la collectivité ;</w:t>
      </w:r>
    </w:p>
    <w:p w14:paraId="5BB43034" w14:textId="1271A2E0" w:rsidR="00782D3A" w:rsidRPr="00782D3A" w:rsidRDefault="00782D3A" w:rsidP="00782D3A">
      <w:pPr>
        <w:pStyle w:val="xxmsonormal"/>
        <w:shd w:val="clear" w:color="auto" w:fill="FFFFFF"/>
        <w:spacing w:before="0" w:beforeAutospacing="0" w:after="0" w:afterAutospacing="0" w:line="360" w:lineRule="auto"/>
        <w:ind w:left="360"/>
        <w:jc w:val="both"/>
        <w:rPr>
          <w:rFonts w:asciiTheme="minorHAnsi" w:hAnsiTheme="minorHAnsi" w:cstheme="minorHAnsi"/>
          <w:color w:val="242424"/>
          <w:sz w:val="22"/>
          <w:szCs w:val="22"/>
          <w:bdr w:val="none" w:sz="0" w:space="0" w:color="auto" w:frame="1"/>
        </w:rPr>
      </w:pPr>
      <w:r w:rsidRPr="00782D3A">
        <w:rPr>
          <w:rFonts w:asciiTheme="minorHAnsi" w:hAnsiTheme="minorHAnsi" w:cstheme="minorHAnsi"/>
          <w:color w:val="242424"/>
          <w:sz w:val="22"/>
          <w:szCs w:val="22"/>
          <w:bdr w:val="none" w:sz="0" w:space="0" w:color="auto" w:frame="1"/>
        </w:rPr>
        <w:t xml:space="preserve">- </w:t>
      </w:r>
      <w:r w:rsidRPr="00782D3A">
        <w:rPr>
          <w:rFonts w:asciiTheme="minorHAnsi" w:hAnsiTheme="minorHAnsi" w:cstheme="minorHAnsi"/>
          <w:color w:val="242424"/>
          <w:sz w:val="22"/>
          <w:szCs w:val="22"/>
          <w:bdr w:val="none" w:sz="0" w:space="0" w:color="auto" w:frame="1"/>
        </w:rPr>
        <w:tab/>
        <w:t>à notre connaissance, le PLU est compatible avec un projet PV sur la zone.</w:t>
      </w:r>
    </w:p>
    <w:p w14:paraId="587EF3E3" w14:textId="77777777" w:rsidR="00782D3A" w:rsidRDefault="00782D3A" w:rsidP="00782D3A">
      <w:pPr>
        <w:pStyle w:val="xxmsonormal"/>
        <w:shd w:val="clear" w:color="auto" w:fill="FFFFFF"/>
        <w:spacing w:after="0" w:line="360" w:lineRule="auto"/>
        <w:jc w:val="both"/>
        <w:rPr>
          <w:rFonts w:asciiTheme="minorHAnsi" w:hAnsiTheme="minorHAnsi" w:cstheme="minorHAnsi"/>
          <w:b/>
          <w:bCs/>
          <w:color w:val="ED7D31" w:themeColor="accent2"/>
          <w:sz w:val="22"/>
          <w:szCs w:val="22"/>
          <w:bdr w:val="none" w:sz="0" w:space="0" w:color="auto" w:frame="1"/>
        </w:rPr>
      </w:pPr>
      <w:r w:rsidRPr="00782D3A">
        <w:rPr>
          <w:rFonts w:asciiTheme="minorHAnsi" w:hAnsiTheme="minorHAnsi" w:cstheme="minorHAnsi"/>
          <w:b/>
          <w:bCs/>
          <w:color w:val="ED7D31" w:themeColor="accent2"/>
          <w:sz w:val="22"/>
          <w:szCs w:val="22"/>
          <w:bdr w:val="none" w:sz="0" w:space="0" w:color="auto" w:frame="1"/>
        </w:rPr>
        <w:t xml:space="preserve">Effectivement, le document d’urbanisme actuel (PLUi) est déjà compatible avec le projet demandé. Les démarches nécessaires ont été anticipées par la Commune </w:t>
      </w:r>
      <w:r>
        <w:rPr>
          <w:rFonts w:asciiTheme="minorHAnsi" w:hAnsiTheme="minorHAnsi" w:cstheme="minorHAnsi"/>
          <w:b/>
          <w:bCs/>
          <w:color w:val="ED7D31" w:themeColor="accent2"/>
          <w:sz w:val="22"/>
          <w:szCs w:val="22"/>
          <w:bdr w:val="none" w:sz="0" w:space="0" w:color="auto" w:frame="1"/>
        </w:rPr>
        <w:t>auprès</w:t>
      </w:r>
      <w:r w:rsidRPr="00782D3A">
        <w:rPr>
          <w:rFonts w:asciiTheme="minorHAnsi" w:hAnsiTheme="minorHAnsi" w:cstheme="minorHAnsi"/>
          <w:b/>
          <w:bCs/>
          <w:color w:val="ED7D31" w:themeColor="accent2"/>
          <w:sz w:val="22"/>
          <w:szCs w:val="22"/>
          <w:bdr w:val="none" w:sz="0" w:space="0" w:color="auto" w:frame="1"/>
        </w:rPr>
        <w:t xml:space="preserve"> de la Métropole compétente</w:t>
      </w:r>
      <w:r>
        <w:rPr>
          <w:rFonts w:asciiTheme="minorHAnsi" w:hAnsiTheme="minorHAnsi" w:cstheme="minorHAnsi"/>
          <w:b/>
          <w:bCs/>
          <w:color w:val="ED7D31" w:themeColor="accent2"/>
          <w:sz w:val="22"/>
          <w:szCs w:val="22"/>
          <w:bdr w:val="none" w:sz="0" w:space="0" w:color="auto" w:frame="1"/>
        </w:rPr>
        <w:t>,</w:t>
      </w:r>
      <w:r w:rsidRPr="00782D3A">
        <w:rPr>
          <w:rFonts w:asciiTheme="minorHAnsi" w:hAnsiTheme="minorHAnsi" w:cstheme="minorHAnsi"/>
          <w:b/>
          <w:bCs/>
          <w:color w:val="ED7D31" w:themeColor="accent2"/>
          <w:sz w:val="22"/>
          <w:szCs w:val="22"/>
          <w:bdr w:val="none" w:sz="0" w:space="0" w:color="auto" w:frame="1"/>
        </w:rPr>
        <w:t xml:space="preserve"> ce qui participe à raccourcir les délais de développement pour les candidats.</w:t>
      </w:r>
    </w:p>
    <w:p w14:paraId="4CBB1F97" w14:textId="54BA233E" w:rsidR="00782D3A" w:rsidRPr="00782D3A" w:rsidRDefault="00782D3A" w:rsidP="00782D3A">
      <w:pPr>
        <w:pStyle w:val="xxmsonormal"/>
        <w:numPr>
          <w:ilvl w:val="0"/>
          <w:numId w:val="1"/>
        </w:numPr>
        <w:shd w:val="clear" w:color="auto" w:fill="FFFFFF"/>
        <w:spacing w:before="0" w:beforeAutospacing="0" w:after="0" w:afterAutospacing="0" w:line="360" w:lineRule="auto"/>
        <w:jc w:val="both"/>
        <w:rPr>
          <w:rFonts w:asciiTheme="minorHAnsi" w:hAnsiTheme="minorHAnsi" w:cstheme="minorHAnsi"/>
          <w:color w:val="242424"/>
          <w:sz w:val="22"/>
          <w:szCs w:val="22"/>
          <w:bdr w:val="none" w:sz="0" w:space="0" w:color="auto" w:frame="1"/>
        </w:rPr>
      </w:pPr>
      <w:r w:rsidRPr="00782D3A">
        <w:rPr>
          <w:rFonts w:asciiTheme="minorHAnsi" w:hAnsiTheme="minorHAnsi" w:cstheme="minorHAnsi"/>
          <w:color w:val="242424"/>
          <w:sz w:val="22"/>
          <w:szCs w:val="22"/>
          <w:bdr w:val="none" w:sz="0" w:space="0" w:color="auto" w:frame="1"/>
        </w:rPr>
        <w:lastRenderedPageBreak/>
        <w:t>Pourriez-vous svp partager le plan topographique du site (transmis précédemment au format PDF) en format DWG ?</w:t>
      </w:r>
      <w:r w:rsidRPr="00782D3A">
        <w:rPr>
          <w:rFonts w:ascii="Calibri" w:hAnsi="Calibri" w:cs="Calibri"/>
          <w:color w:val="424242"/>
          <w:sz w:val="22"/>
          <w:szCs w:val="22"/>
        </w:rPr>
        <w:t> </w:t>
      </w:r>
      <w:r w:rsidRPr="00782D3A">
        <w:rPr>
          <w:rFonts w:ascii="Calibri" w:hAnsi="Calibri" w:cs="Calibri"/>
          <w:b/>
          <w:bCs/>
          <w:color w:val="ED7D31" w:themeColor="accent2"/>
          <w:sz w:val="22"/>
          <w:szCs w:val="22"/>
        </w:rPr>
        <w:t xml:space="preserve">– Le Plan au format DWG est disponible </w:t>
      </w:r>
      <w:r>
        <w:rPr>
          <w:rFonts w:ascii="Calibri" w:hAnsi="Calibri" w:cs="Calibri"/>
          <w:b/>
          <w:bCs/>
          <w:color w:val="ED7D31" w:themeColor="accent2"/>
          <w:sz w:val="22"/>
          <w:szCs w:val="22"/>
        </w:rPr>
        <w:t>en téléchargement sur le site de la Ville dans le dossier de l’AAP</w:t>
      </w:r>
      <w:r w:rsidRPr="00782D3A">
        <w:rPr>
          <w:rFonts w:ascii="Calibri" w:hAnsi="Calibri" w:cs="Calibri"/>
          <w:b/>
          <w:bCs/>
          <w:color w:val="ED7D31" w:themeColor="accent2"/>
          <w:sz w:val="22"/>
          <w:szCs w:val="22"/>
        </w:rPr>
        <w:t>.</w:t>
      </w:r>
    </w:p>
    <w:p w14:paraId="0E117476" w14:textId="77777777" w:rsidR="00782D3A" w:rsidRPr="00782D3A" w:rsidRDefault="00782D3A" w:rsidP="00782D3A">
      <w:pPr>
        <w:pStyle w:val="xxmsonormal"/>
        <w:shd w:val="clear" w:color="auto" w:fill="FFFFFF"/>
        <w:spacing w:before="0" w:beforeAutospacing="0" w:after="0" w:afterAutospacing="0" w:line="360" w:lineRule="auto"/>
        <w:ind w:left="360"/>
        <w:jc w:val="both"/>
        <w:rPr>
          <w:rFonts w:asciiTheme="minorHAnsi" w:hAnsiTheme="minorHAnsi" w:cstheme="minorHAnsi"/>
          <w:color w:val="242424"/>
          <w:sz w:val="22"/>
          <w:szCs w:val="22"/>
          <w:bdr w:val="none" w:sz="0" w:space="0" w:color="auto" w:frame="1"/>
        </w:rPr>
      </w:pPr>
    </w:p>
    <w:p w14:paraId="1C366B08" w14:textId="0C2E83C7" w:rsidR="00782D3A" w:rsidRPr="00782D3A" w:rsidRDefault="00782D3A" w:rsidP="00212E75">
      <w:pPr>
        <w:pStyle w:val="xcontentpasted0"/>
        <w:numPr>
          <w:ilvl w:val="0"/>
          <w:numId w:val="1"/>
        </w:numPr>
        <w:shd w:val="clear" w:color="auto" w:fill="FFFFFF"/>
        <w:spacing w:before="0" w:beforeAutospacing="0" w:after="0" w:afterAutospacing="0" w:line="360" w:lineRule="auto"/>
        <w:jc w:val="both"/>
        <w:rPr>
          <w:rFonts w:ascii="Calibri" w:hAnsi="Calibri" w:cs="Calibri"/>
          <w:color w:val="424242"/>
          <w:sz w:val="22"/>
          <w:szCs w:val="22"/>
        </w:rPr>
      </w:pPr>
      <w:r w:rsidRPr="00782D3A">
        <w:rPr>
          <w:rFonts w:asciiTheme="minorHAnsi" w:hAnsiTheme="minorHAnsi" w:cstheme="minorHAnsi"/>
          <w:color w:val="242424"/>
          <w:sz w:val="22"/>
          <w:szCs w:val="22"/>
          <w:bdr w:val="none" w:sz="0" w:space="0" w:color="auto" w:frame="1"/>
        </w:rPr>
        <w:t>Pourriez-vous svp également fournir un DWG avec l'emplacement des collecteurs biogaz et du bassin lixiviats 34 d'environ 14000 m² ? En effet pour ce dernier le plan fourni ne permet pas de le localiser précisément dans l'emprise du site : est-ce qu'un plan avec une vue à une échelle supérieure serait disponible</w:t>
      </w:r>
      <w:r w:rsidRPr="00782D3A">
        <w:rPr>
          <w:rFonts w:ascii="Calibri" w:hAnsi="Calibri" w:cs="Calibri"/>
          <w:color w:val="424242"/>
          <w:sz w:val="22"/>
          <w:szCs w:val="22"/>
        </w:rPr>
        <w:t xml:space="preserve"> ? </w:t>
      </w:r>
      <w:r w:rsidRPr="00782D3A">
        <w:rPr>
          <w:rFonts w:ascii="Calibri" w:hAnsi="Calibri" w:cs="Calibri"/>
          <w:b/>
          <w:bCs/>
          <w:color w:val="ED7D31" w:themeColor="accent2"/>
          <w:sz w:val="22"/>
          <w:szCs w:val="22"/>
        </w:rPr>
        <w:t xml:space="preserve">– Le Plan au format DWG est disponible </w:t>
      </w:r>
      <w:r>
        <w:rPr>
          <w:rFonts w:ascii="Calibri" w:hAnsi="Calibri" w:cs="Calibri"/>
          <w:b/>
          <w:bCs/>
          <w:color w:val="ED7D31" w:themeColor="accent2"/>
          <w:sz w:val="22"/>
          <w:szCs w:val="22"/>
        </w:rPr>
        <w:t>en téléchargement sur le site de la Ville dans le dossier de l’AAP</w:t>
      </w:r>
    </w:p>
    <w:p w14:paraId="71B73342" w14:textId="77777777" w:rsidR="00782D3A" w:rsidRDefault="00782D3A" w:rsidP="00782D3A">
      <w:pPr>
        <w:pStyle w:val="xcontentpasted0"/>
        <w:shd w:val="clear" w:color="auto" w:fill="FFFFFF"/>
        <w:spacing w:before="0" w:beforeAutospacing="0" w:after="0" w:afterAutospacing="0" w:line="360" w:lineRule="auto"/>
        <w:ind w:left="360"/>
        <w:jc w:val="both"/>
        <w:rPr>
          <w:rFonts w:ascii="Calibri" w:hAnsi="Calibri" w:cs="Calibri"/>
          <w:color w:val="424242"/>
          <w:sz w:val="22"/>
          <w:szCs w:val="22"/>
        </w:rPr>
      </w:pPr>
    </w:p>
    <w:p w14:paraId="5548EF19" w14:textId="4B72491B" w:rsidR="00782D3A" w:rsidRPr="00782D3A" w:rsidRDefault="00782D3A" w:rsidP="00782D3A">
      <w:pPr>
        <w:pStyle w:val="xcontentpasted0"/>
        <w:numPr>
          <w:ilvl w:val="0"/>
          <w:numId w:val="1"/>
        </w:numPr>
        <w:shd w:val="clear" w:color="auto" w:fill="FFFFFF"/>
        <w:spacing w:before="0" w:beforeAutospacing="0" w:after="0" w:afterAutospacing="0" w:line="360" w:lineRule="auto"/>
        <w:jc w:val="both"/>
        <w:rPr>
          <w:rFonts w:ascii="Calibri" w:hAnsi="Calibri" w:cs="Calibri"/>
          <w:color w:val="ED5C57"/>
          <w:sz w:val="22"/>
          <w:szCs w:val="22"/>
        </w:rPr>
      </w:pPr>
      <w:r>
        <w:rPr>
          <w:rFonts w:ascii="Calibri" w:hAnsi="Calibri" w:cs="Calibri"/>
          <w:color w:val="424242"/>
          <w:sz w:val="22"/>
          <w:szCs w:val="22"/>
          <w:bdr w:val="none" w:sz="0" w:space="0" w:color="auto" w:frame="1"/>
          <w:shd w:val="clear" w:color="auto" w:fill="FFFFFF"/>
        </w:rPr>
        <w:t>Comme évoqué par Veolia l'arrêté préfectoral a été publié hier : pourriez-vous svp le partager ou à minima transmettre le plan des SUP?</w:t>
      </w:r>
      <w:r>
        <w:rPr>
          <w:rFonts w:ascii="Calibri" w:hAnsi="Calibri" w:cs="Calibri"/>
          <w:color w:val="ED5C57"/>
          <w:sz w:val="22"/>
          <w:szCs w:val="22"/>
        </w:rPr>
        <w:t> </w:t>
      </w:r>
      <w:r w:rsidRPr="0038038A">
        <w:rPr>
          <w:rFonts w:ascii="Calibri" w:hAnsi="Calibri" w:cs="Calibri"/>
          <w:b/>
          <w:bCs/>
          <w:color w:val="ED7D31" w:themeColor="accent2"/>
          <w:sz w:val="22"/>
          <w:szCs w:val="22"/>
        </w:rPr>
        <w:t xml:space="preserve">– </w:t>
      </w:r>
      <w:r>
        <w:rPr>
          <w:rFonts w:ascii="Calibri" w:hAnsi="Calibri" w:cs="Calibri"/>
          <w:b/>
          <w:bCs/>
          <w:color w:val="ED7D31" w:themeColor="accent2"/>
          <w:sz w:val="22"/>
          <w:szCs w:val="22"/>
        </w:rPr>
        <w:t>L’arrêté de SUP et l’autorisation d’exploité sont</w:t>
      </w:r>
      <w:r w:rsidRPr="0038038A">
        <w:rPr>
          <w:rFonts w:ascii="Calibri" w:hAnsi="Calibri" w:cs="Calibri"/>
          <w:b/>
          <w:bCs/>
          <w:color w:val="ED7D31" w:themeColor="accent2"/>
          <w:sz w:val="22"/>
          <w:szCs w:val="22"/>
        </w:rPr>
        <w:t xml:space="preserve"> disponible</w:t>
      </w:r>
      <w:r>
        <w:rPr>
          <w:rFonts w:ascii="Calibri" w:hAnsi="Calibri" w:cs="Calibri"/>
          <w:b/>
          <w:bCs/>
          <w:color w:val="ED7D31" w:themeColor="accent2"/>
          <w:sz w:val="22"/>
          <w:szCs w:val="22"/>
        </w:rPr>
        <w:t>s</w:t>
      </w:r>
      <w:r w:rsidRPr="0038038A">
        <w:rPr>
          <w:rFonts w:ascii="Calibri" w:hAnsi="Calibri" w:cs="Calibri"/>
          <w:b/>
          <w:bCs/>
          <w:color w:val="ED7D31" w:themeColor="accent2"/>
          <w:sz w:val="22"/>
          <w:szCs w:val="22"/>
        </w:rPr>
        <w:t xml:space="preserve"> </w:t>
      </w:r>
      <w:r>
        <w:rPr>
          <w:rFonts w:ascii="Calibri" w:hAnsi="Calibri" w:cs="Calibri"/>
          <w:b/>
          <w:bCs/>
          <w:color w:val="ED7D31" w:themeColor="accent2"/>
          <w:sz w:val="22"/>
          <w:szCs w:val="22"/>
        </w:rPr>
        <w:t>en téléchargement sur le site de la Ville dans le dossier de l’AAP</w:t>
      </w:r>
      <w:r w:rsidRPr="0038038A">
        <w:rPr>
          <w:rFonts w:ascii="Calibri" w:hAnsi="Calibri" w:cs="Calibri"/>
          <w:b/>
          <w:bCs/>
          <w:color w:val="ED7D31" w:themeColor="accent2"/>
          <w:sz w:val="22"/>
          <w:szCs w:val="22"/>
        </w:rPr>
        <w:t>.</w:t>
      </w:r>
    </w:p>
    <w:p w14:paraId="03A56DFA" w14:textId="77777777" w:rsidR="00782D3A" w:rsidRDefault="00782D3A" w:rsidP="00782D3A">
      <w:pPr>
        <w:pStyle w:val="Paragraphedeliste"/>
        <w:rPr>
          <w:rFonts w:ascii="Calibri" w:hAnsi="Calibri" w:cs="Calibri"/>
          <w:color w:val="ED5C57"/>
        </w:rPr>
      </w:pPr>
    </w:p>
    <w:p w14:paraId="09DF551F" w14:textId="44F69721" w:rsidR="00782D3A" w:rsidRDefault="00782D3A" w:rsidP="00782D3A">
      <w:pPr>
        <w:pStyle w:val="xcontentpasted0"/>
        <w:numPr>
          <w:ilvl w:val="0"/>
          <w:numId w:val="1"/>
        </w:numPr>
        <w:shd w:val="clear" w:color="auto" w:fill="FFFFFF"/>
        <w:spacing w:before="0" w:beforeAutospacing="0" w:after="0" w:afterAutospacing="0" w:line="360" w:lineRule="auto"/>
        <w:jc w:val="both"/>
        <w:rPr>
          <w:rFonts w:ascii="Calibri" w:hAnsi="Calibri" w:cs="Calibri"/>
          <w:b/>
          <w:bCs/>
          <w:color w:val="ED7D31" w:themeColor="accent2"/>
          <w:sz w:val="22"/>
          <w:szCs w:val="22"/>
        </w:rPr>
      </w:pPr>
      <w:r>
        <w:rPr>
          <w:rFonts w:ascii="Calibri" w:hAnsi="Calibri" w:cs="Calibri"/>
          <w:color w:val="424242"/>
          <w:sz w:val="22"/>
          <w:szCs w:val="22"/>
        </w:rPr>
        <w:t>Nous avons bien noté que le but de la garantie est de préserver la commune d'un abandon unilatéral du projet par l'opérateur. Toutefois, si malgré les efforts dans le développement de projet le permis de construire est refusé, ou annulé suite à un recours, est-ce que la garantie ne sera pas restituée ? </w:t>
      </w:r>
      <w:r>
        <w:rPr>
          <w:rFonts w:ascii="Calibri" w:hAnsi="Calibri" w:cs="Calibri"/>
          <w:b/>
          <w:bCs/>
          <w:color w:val="ED7D31" w:themeColor="accent2"/>
          <w:sz w:val="22"/>
          <w:szCs w:val="22"/>
          <w:bdr w:val="none" w:sz="0" w:space="0" w:color="auto" w:frame="1"/>
        </w:rPr>
        <w:t>C</w:t>
      </w:r>
      <w:r w:rsidRPr="00496CFA">
        <w:rPr>
          <w:rFonts w:ascii="Calibri" w:hAnsi="Calibri" w:cs="Calibri"/>
          <w:b/>
          <w:bCs/>
          <w:color w:val="ED7D31" w:themeColor="accent2"/>
          <w:sz w:val="22"/>
          <w:szCs w:val="22"/>
          <w:bdr w:val="none" w:sz="0" w:space="0" w:color="auto" w:frame="1"/>
        </w:rPr>
        <w:t>e n'est pas le sens de la retenue de garantie</w:t>
      </w:r>
      <w:r>
        <w:rPr>
          <w:rFonts w:ascii="Calibri" w:hAnsi="Calibri" w:cs="Calibri"/>
          <w:b/>
          <w:bCs/>
          <w:color w:val="ED7D31" w:themeColor="accent2"/>
          <w:sz w:val="22"/>
          <w:szCs w:val="22"/>
          <w:bdr w:val="none" w:sz="0" w:space="0" w:color="auto" w:frame="1"/>
        </w:rPr>
        <w:t xml:space="preserve">, néanmoins, </w:t>
      </w:r>
      <w:r>
        <w:rPr>
          <w:rFonts w:ascii="Calibri" w:hAnsi="Calibri" w:cs="Calibri"/>
          <w:b/>
          <w:bCs/>
          <w:color w:val="ED7D31" w:themeColor="accent2"/>
          <w:sz w:val="22"/>
          <w:szCs w:val="22"/>
        </w:rPr>
        <w:t>à</w:t>
      </w:r>
      <w:r w:rsidRPr="00496CFA">
        <w:rPr>
          <w:rFonts w:ascii="Calibri" w:hAnsi="Calibri" w:cs="Calibri"/>
          <w:b/>
          <w:bCs/>
          <w:color w:val="ED7D31" w:themeColor="accent2"/>
          <w:sz w:val="22"/>
          <w:szCs w:val="22"/>
        </w:rPr>
        <w:t xml:space="preserve"> l’heure actuelle, la Ville n’a pas encore statué sur le fait de garder ou non la garantie dans ce cas de figure.</w:t>
      </w:r>
    </w:p>
    <w:p w14:paraId="7294B0E6" w14:textId="77777777" w:rsidR="00782D3A" w:rsidRDefault="00782D3A" w:rsidP="00782D3A">
      <w:pPr>
        <w:pStyle w:val="Paragraphedeliste"/>
        <w:rPr>
          <w:rFonts w:ascii="Calibri" w:hAnsi="Calibri" w:cs="Calibri"/>
          <w:b/>
          <w:bCs/>
          <w:color w:val="ED7D31" w:themeColor="accent2"/>
        </w:rPr>
      </w:pPr>
    </w:p>
    <w:p w14:paraId="0EFA4C59" w14:textId="69246310" w:rsidR="00782D3A" w:rsidRDefault="00782D3A" w:rsidP="00782D3A">
      <w:pPr>
        <w:pStyle w:val="xcontentpasted0"/>
        <w:numPr>
          <w:ilvl w:val="0"/>
          <w:numId w:val="1"/>
        </w:numPr>
        <w:shd w:val="clear" w:color="auto" w:fill="FFFFFF"/>
        <w:spacing w:before="0" w:beforeAutospacing="0" w:after="0" w:afterAutospacing="0" w:line="360" w:lineRule="auto"/>
        <w:jc w:val="both"/>
        <w:rPr>
          <w:rFonts w:ascii="Calibri" w:hAnsi="Calibri" w:cs="Calibri"/>
          <w:color w:val="424242"/>
          <w:sz w:val="22"/>
          <w:szCs w:val="22"/>
        </w:rPr>
      </w:pPr>
      <w:r>
        <w:rPr>
          <w:rFonts w:ascii="Calibri" w:hAnsi="Calibri" w:cs="Calibri"/>
          <w:color w:val="424242"/>
          <w:sz w:val="22"/>
          <w:szCs w:val="22"/>
        </w:rPr>
        <w:t xml:space="preserve">Le </w:t>
      </w:r>
      <w:proofErr w:type="spellStart"/>
      <w:r>
        <w:rPr>
          <w:rFonts w:ascii="Calibri" w:hAnsi="Calibri" w:cs="Calibri"/>
          <w:color w:val="424242"/>
          <w:sz w:val="22"/>
          <w:szCs w:val="22"/>
        </w:rPr>
        <w:t>CdC</w:t>
      </w:r>
      <w:proofErr w:type="spellEnd"/>
      <w:r>
        <w:rPr>
          <w:rFonts w:ascii="Calibri" w:hAnsi="Calibri" w:cs="Calibri"/>
          <w:color w:val="424242"/>
          <w:sz w:val="22"/>
          <w:szCs w:val="22"/>
        </w:rPr>
        <w:t xml:space="preserve"> évoque "des éventuelles réparations de la couverture, autres membranes" : est-ce qu'en condition "normales" de vieillissement ces éléments se dégradent au cours de 30 ans et nécessitent des réparations ? </w:t>
      </w:r>
      <w:r>
        <w:rPr>
          <w:rFonts w:ascii="Calibri" w:hAnsi="Calibri" w:cs="Calibri"/>
          <w:b/>
          <w:bCs/>
          <w:color w:val="ED7D31" w:themeColor="accent2"/>
          <w:sz w:val="22"/>
          <w:szCs w:val="22"/>
          <w:bdr w:val="none" w:sz="0" w:space="0" w:color="auto" w:frame="1"/>
        </w:rPr>
        <w:t>Il est demandé uniquement</w:t>
      </w:r>
      <w:r w:rsidRPr="005D6C26">
        <w:rPr>
          <w:rFonts w:ascii="Calibri" w:hAnsi="Calibri" w:cs="Calibri"/>
          <w:b/>
          <w:bCs/>
          <w:color w:val="ED7D31" w:themeColor="accent2"/>
          <w:sz w:val="22"/>
          <w:szCs w:val="22"/>
          <w:bdr w:val="none" w:sz="0" w:space="0" w:color="auto" w:frame="1"/>
        </w:rPr>
        <w:t xml:space="preserve"> la prise en charge des réparations induites par l'activité </w:t>
      </w:r>
      <w:r>
        <w:rPr>
          <w:rFonts w:ascii="Calibri" w:hAnsi="Calibri" w:cs="Calibri"/>
          <w:b/>
          <w:bCs/>
          <w:color w:val="ED7D31" w:themeColor="accent2"/>
          <w:sz w:val="22"/>
          <w:szCs w:val="22"/>
          <w:bdr w:val="none" w:sz="0" w:space="0" w:color="auto" w:frame="1"/>
        </w:rPr>
        <w:t>photovoltaïque. L</w:t>
      </w:r>
      <w:r w:rsidRPr="005D6C26">
        <w:rPr>
          <w:rFonts w:ascii="Calibri" w:hAnsi="Calibri" w:cs="Calibri"/>
          <w:b/>
          <w:bCs/>
          <w:color w:val="ED7D31" w:themeColor="accent2"/>
          <w:sz w:val="22"/>
          <w:szCs w:val="22"/>
          <w:bdr w:val="none" w:sz="0" w:space="0" w:color="auto" w:frame="1"/>
        </w:rPr>
        <w:t xml:space="preserve">e vieillissement </w:t>
      </w:r>
      <w:r>
        <w:rPr>
          <w:rFonts w:ascii="Calibri" w:hAnsi="Calibri" w:cs="Calibri"/>
          <w:b/>
          <w:bCs/>
          <w:color w:val="ED7D31" w:themeColor="accent2"/>
          <w:sz w:val="22"/>
          <w:szCs w:val="22"/>
          <w:bdr w:val="none" w:sz="0" w:space="0" w:color="auto" w:frame="1"/>
        </w:rPr>
        <w:t>« </w:t>
      </w:r>
      <w:r w:rsidRPr="005D6C26">
        <w:rPr>
          <w:rFonts w:ascii="Calibri" w:hAnsi="Calibri" w:cs="Calibri"/>
          <w:b/>
          <w:bCs/>
          <w:color w:val="ED7D31" w:themeColor="accent2"/>
          <w:sz w:val="22"/>
          <w:szCs w:val="22"/>
          <w:bdr w:val="none" w:sz="0" w:space="0" w:color="auto" w:frame="1"/>
        </w:rPr>
        <w:t>normal</w:t>
      </w:r>
      <w:r>
        <w:rPr>
          <w:rFonts w:ascii="Calibri" w:hAnsi="Calibri" w:cs="Calibri"/>
          <w:b/>
          <w:bCs/>
          <w:color w:val="ED7D31" w:themeColor="accent2"/>
          <w:sz w:val="22"/>
          <w:szCs w:val="22"/>
          <w:bdr w:val="none" w:sz="0" w:space="0" w:color="auto" w:frame="1"/>
        </w:rPr>
        <w:t> »</w:t>
      </w:r>
      <w:r w:rsidRPr="005D6C26">
        <w:rPr>
          <w:rFonts w:ascii="Calibri" w:hAnsi="Calibri" w:cs="Calibri"/>
          <w:b/>
          <w:bCs/>
          <w:color w:val="ED7D31" w:themeColor="accent2"/>
          <w:sz w:val="22"/>
          <w:szCs w:val="22"/>
          <w:bdr w:val="none" w:sz="0" w:space="0" w:color="auto" w:frame="1"/>
        </w:rPr>
        <w:t xml:space="preserve"> reste à la charge du responsable de la post exploitation</w:t>
      </w:r>
      <w:r>
        <w:rPr>
          <w:rFonts w:ascii="Calibri" w:hAnsi="Calibri" w:cs="Calibri"/>
          <w:b/>
          <w:bCs/>
          <w:color w:val="ED7D31" w:themeColor="accent2"/>
          <w:sz w:val="22"/>
          <w:szCs w:val="22"/>
          <w:bdr w:val="none" w:sz="0" w:space="0" w:color="auto" w:frame="1"/>
        </w:rPr>
        <w:t>.</w:t>
      </w:r>
    </w:p>
    <w:p w14:paraId="4F6DF9C9" w14:textId="77777777" w:rsidR="00782D3A" w:rsidRDefault="00782D3A" w:rsidP="00782D3A">
      <w:pPr>
        <w:pStyle w:val="xcontentpasted0"/>
        <w:shd w:val="clear" w:color="auto" w:fill="FFFFFF"/>
        <w:spacing w:before="0" w:beforeAutospacing="0" w:after="0" w:afterAutospacing="0" w:line="360" w:lineRule="auto"/>
        <w:jc w:val="both"/>
        <w:rPr>
          <w:rFonts w:ascii="Calibri" w:hAnsi="Calibri" w:cs="Calibri"/>
          <w:color w:val="424242"/>
          <w:sz w:val="22"/>
          <w:szCs w:val="22"/>
        </w:rPr>
      </w:pPr>
    </w:p>
    <w:p w14:paraId="4ADD6E4F" w14:textId="77777777" w:rsidR="00622DF9" w:rsidRPr="00622DF9" w:rsidRDefault="00782D3A" w:rsidP="00782D3A">
      <w:pPr>
        <w:pStyle w:val="xcontentpasted0"/>
        <w:numPr>
          <w:ilvl w:val="0"/>
          <w:numId w:val="1"/>
        </w:numPr>
        <w:shd w:val="clear" w:color="auto" w:fill="FFFFFF"/>
        <w:spacing w:before="0" w:beforeAutospacing="0" w:after="0" w:afterAutospacing="0" w:line="360" w:lineRule="auto"/>
        <w:jc w:val="both"/>
        <w:rPr>
          <w:rFonts w:ascii="Calibri" w:hAnsi="Calibri" w:cs="Calibri"/>
          <w:color w:val="424242"/>
          <w:sz w:val="22"/>
          <w:szCs w:val="22"/>
        </w:rPr>
      </w:pPr>
      <w:r w:rsidRPr="00952D09">
        <w:rPr>
          <w:rFonts w:ascii="Calibri" w:hAnsi="Calibri" w:cs="Calibri"/>
          <w:sz w:val="22"/>
          <w:szCs w:val="22"/>
        </w:rPr>
        <w:t xml:space="preserve">Le </w:t>
      </w:r>
      <w:proofErr w:type="spellStart"/>
      <w:r w:rsidRPr="00952D09">
        <w:rPr>
          <w:rFonts w:ascii="Calibri" w:hAnsi="Calibri" w:cs="Calibri"/>
          <w:sz w:val="22"/>
          <w:szCs w:val="22"/>
        </w:rPr>
        <w:t>CdC</w:t>
      </w:r>
      <w:proofErr w:type="spellEnd"/>
      <w:r w:rsidRPr="00952D09">
        <w:rPr>
          <w:rFonts w:ascii="Calibri" w:hAnsi="Calibri" w:cs="Calibri"/>
          <w:sz w:val="22"/>
          <w:szCs w:val="22"/>
        </w:rPr>
        <w:t xml:space="preserve"> indique : "Ce plan d’affaires prévisionnel sera proposé sur la base du modèle mis à disposition par la CRE avec trois horizons : 20, 30 et 40 ans et le Candidat expliquera son choix quant à la durée d’exploitation qu’il envisage". "Afin de faciliter l’analyse des candidats, il est demandé au candidat de remplir le compte d’exploitation du fichier en annexe". "La projection d’une valorisation en AO CRE sera donnée en comparaison à titre indicatif". Doit-on retenir qu'il faudra fournir 6 plans d'affaires avec le modèle CRE (avec les scénarios 20/30/40 ans d'exploitation, les trois en tarif CRE et en tarif hors-CRE), plus 1 compte d'exploitation avec le modèle fourni par la commune, pour que le dossier de réponse soit considéré complet ? </w:t>
      </w:r>
    </w:p>
    <w:p w14:paraId="2BDDB693" w14:textId="77777777" w:rsidR="00622DF9" w:rsidRDefault="00622DF9" w:rsidP="00622DF9">
      <w:pPr>
        <w:pStyle w:val="Paragraphedeliste"/>
        <w:rPr>
          <w:rFonts w:ascii="Calibri" w:hAnsi="Calibri" w:cs="Calibri"/>
          <w:b/>
          <w:bCs/>
          <w:color w:val="ED7D31" w:themeColor="accent2"/>
          <w:bdr w:val="none" w:sz="0" w:space="0" w:color="auto" w:frame="1"/>
        </w:rPr>
      </w:pPr>
    </w:p>
    <w:p w14:paraId="1053F67D" w14:textId="7302BB6E" w:rsidR="00782D3A" w:rsidRPr="00622DF9" w:rsidRDefault="00782D3A" w:rsidP="00622DF9">
      <w:pPr>
        <w:pStyle w:val="xcontentpasted0"/>
        <w:shd w:val="clear" w:color="auto" w:fill="FFFFFF"/>
        <w:spacing w:before="0" w:beforeAutospacing="0" w:after="0" w:afterAutospacing="0" w:line="360" w:lineRule="auto"/>
        <w:ind w:left="360"/>
        <w:jc w:val="both"/>
        <w:rPr>
          <w:rFonts w:ascii="Calibri" w:hAnsi="Calibri" w:cs="Calibri"/>
          <w:color w:val="424242"/>
          <w:sz w:val="22"/>
          <w:szCs w:val="22"/>
        </w:rPr>
      </w:pPr>
      <w:r w:rsidRPr="005D6C26">
        <w:rPr>
          <w:rFonts w:ascii="Calibri" w:hAnsi="Calibri" w:cs="Calibri"/>
          <w:b/>
          <w:bCs/>
          <w:color w:val="ED7D31" w:themeColor="accent2"/>
          <w:sz w:val="22"/>
          <w:szCs w:val="22"/>
          <w:bdr w:val="none" w:sz="0" w:space="0" w:color="auto" w:frame="1"/>
        </w:rPr>
        <w:t>La référence au modèle de plan d'affaire de la Commission de Régulation de l’Energie (CRE) est une coquille. En ce qui concerne la question sur l’offre complète, cette dernière sera jugée complète avec un compte d'exploitation prévisionnel à 30 ans CRE et hors CRE soit 2 CEP. Les candidats qui souhaitent proposer une autre durée d’exploitation peuvent fournir les CEP correspondant en justifiant leur proposition par rapport au 30 ans demandé</w:t>
      </w:r>
      <w:r>
        <w:rPr>
          <w:rFonts w:ascii="Calibri" w:hAnsi="Calibri" w:cs="Calibri"/>
          <w:b/>
          <w:bCs/>
          <w:color w:val="ED7D31" w:themeColor="accent2"/>
          <w:sz w:val="22"/>
          <w:szCs w:val="22"/>
          <w:bdr w:val="none" w:sz="0" w:space="0" w:color="auto" w:frame="1"/>
        </w:rPr>
        <w:t>s</w:t>
      </w:r>
      <w:r w:rsidRPr="005D6C26">
        <w:rPr>
          <w:rFonts w:ascii="Calibri" w:hAnsi="Calibri" w:cs="Calibri"/>
          <w:b/>
          <w:bCs/>
          <w:color w:val="ED7D31" w:themeColor="accent2"/>
          <w:sz w:val="22"/>
          <w:szCs w:val="22"/>
          <w:bdr w:val="none" w:sz="0" w:space="0" w:color="auto" w:frame="1"/>
        </w:rPr>
        <w:t xml:space="preserve"> par la Commune. </w:t>
      </w:r>
    </w:p>
    <w:p w14:paraId="6C0BB9B6" w14:textId="77777777" w:rsidR="00622DF9" w:rsidRPr="00C75C07" w:rsidRDefault="00622DF9" w:rsidP="00622DF9">
      <w:pPr>
        <w:pStyle w:val="Paragraphedeliste"/>
        <w:numPr>
          <w:ilvl w:val="0"/>
          <w:numId w:val="1"/>
        </w:numPr>
        <w:shd w:val="clear" w:color="auto" w:fill="FFFFFF"/>
        <w:tabs>
          <w:tab w:val="clear" w:pos="360"/>
        </w:tabs>
        <w:spacing w:after="0" w:line="240" w:lineRule="auto"/>
        <w:jc w:val="both"/>
        <w:textAlignment w:val="baseline"/>
        <w:rPr>
          <w:rFonts w:eastAsia="Times New Roman" w:cstheme="minorHAnsi"/>
          <w:b/>
          <w:bCs/>
          <w:color w:val="ED7D31" w:themeColor="accent2"/>
          <w:bdr w:val="none" w:sz="0" w:space="0" w:color="auto" w:frame="1"/>
          <w:lang w:eastAsia="fr-FR"/>
        </w:rPr>
      </w:pPr>
      <w:r w:rsidRPr="00AC5934">
        <w:rPr>
          <w:rFonts w:eastAsia="Times New Roman" w:cstheme="minorHAnsi"/>
          <w:color w:val="242424"/>
          <w:bdr w:val="none" w:sz="0" w:space="0" w:color="auto" w:frame="1"/>
          <w:lang w:eastAsia="fr-FR"/>
        </w:rPr>
        <w:t>Le bâtiment « local puisard » situé au sud de l’ISDND doit-il être maintenu ?</w:t>
      </w:r>
      <w:r w:rsidRPr="00AC5934">
        <w:rPr>
          <w:rFonts w:ascii="Calibri" w:eastAsia="Times New Roman" w:hAnsi="Calibri" w:cs="Calibri"/>
          <w:color w:val="0C882A"/>
          <w:lang w:eastAsia="fr-FR"/>
        </w:rPr>
        <w:t xml:space="preserve"> </w:t>
      </w:r>
      <w:r w:rsidRPr="00AC5934">
        <w:rPr>
          <w:rFonts w:eastAsia="Times New Roman" w:cstheme="minorHAnsi"/>
          <w:color w:val="242424"/>
          <w:bdr w:val="none" w:sz="0" w:space="0" w:color="auto" w:frame="1"/>
          <w:lang w:eastAsia="fr-FR"/>
        </w:rPr>
        <w:t>Si oui, y-a-t-il des contraintes d’accès ou d’exploitation spécifiques ? </w:t>
      </w:r>
    </w:p>
    <w:p w14:paraId="18E05BDA" w14:textId="77777777" w:rsidR="00622DF9" w:rsidRPr="00C75C07" w:rsidRDefault="00622DF9" w:rsidP="00622DF9">
      <w:pPr>
        <w:shd w:val="clear" w:color="auto" w:fill="FFFFFF"/>
        <w:spacing w:after="0" w:line="240" w:lineRule="auto"/>
        <w:jc w:val="both"/>
        <w:textAlignment w:val="baseline"/>
        <w:rPr>
          <w:rFonts w:eastAsia="Times New Roman" w:cstheme="minorHAnsi"/>
          <w:b/>
          <w:bCs/>
          <w:color w:val="ED7D31" w:themeColor="accent2"/>
          <w:bdr w:val="none" w:sz="0" w:space="0" w:color="auto" w:frame="1"/>
          <w:lang w:eastAsia="fr-FR"/>
        </w:rPr>
      </w:pPr>
      <w:r w:rsidRPr="00C75C07">
        <w:rPr>
          <w:rFonts w:eastAsia="Times New Roman" w:cstheme="minorHAnsi"/>
          <w:b/>
          <w:bCs/>
          <w:color w:val="ED7D31" w:themeColor="accent2"/>
          <w:bdr w:val="none" w:sz="0" w:space="0" w:color="auto" w:frame="1"/>
          <w:lang w:eastAsia="fr-FR"/>
        </w:rPr>
        <w:t xml:space="preserve">Oui Veolia a besoin de conserver un accès au local et de laisser libre sur un rayon de 15 m le local. </w:t>
      </w:r>
    </w:p>
    <w:p w14:paraId="723080DA" w14:textId="77777777" w:rsidR="00622DF9" w:rsidRPr="00AC5934" w:rsidRDefault="00622DF9" w:rsidP="00622DF9">
      <w:pPr>
        <w:shd w:val="clear" w:color="auto" w:fill="FFFFFF"/>
        <w:spacing w:after="0" w:line="240" w:lineRule="auto"/>
        <w:jc w:val="both"/>
        <w:textAlignment w:val="baseline"/>
        <w:rPr>
          <w:rFonts w:eastAsia="Times New Roman" w:cstheme="minorHAnsi"/>
          <w:color w:val="242424"/>
          <w:bdr w:val="none" w:sz="0" w:space="0" w:color="auto" w:frame="1"/>
          <w:lang w:eastAsia="fr-FR"/>
        </w:rPr>
      </w:pPr>
      <w:r w:rsidRPr="00AC5934">
        <w:rPr>
          <w:rFonts w:eastAsia="Times New Roman" w:cstheme="minorHAnsi"/>
          <w:color w:val="242424"/>
          <w:bdr w:val="none" w:sz="0" w:space="0" w:color="auto" w:frame="1"/>
          <w:lang w:eastAsia="fr-FR"/>
        </w:rPr>
        <w:t> </w:t>
      </w:r>
    </w:p>
    <w:tbl>
      <w:tblPr>
        <w:tblW w:w="0" w:type="auto"/>
        <w:tblCellMar>
          <w:left w:w="0" w:type="dxa"/>
          <w:right w:w="0" w:type="dxa"/>
        </w:tblCellMar>
        <w:tblLook w:val="04A0" w:firstRow="1" w:lastRow="0" w:firstColumn="1" w:lastColumn="0" w:noHBand="0" w:noVBand="1"/>
      </w:tblPr>
      <w:tblGrid>
        <w:gridCol w:w="3852"/>
        <w:gridCol w:w="5220"/>
      </w:tblGrid>
      <w:tr w:rsidR="00622DF9" w:rsidRPr="00AC5934" w14:paraId="27E7B39C" w14:textId="77777777" w:rsidTr="007B0E6E">
        <w:tc>
          <w:tcPr>
            <w:tcW w:w="7046" w:type="dxa"/>
            <w:tcMar>
              <w:top w:w="0" w:type="dxa"/>
              <w:left w:w="108" w:type="dxa"/>
              <w:bottom w:w="0" w:type="dxa"/>
              <w:right w:w="108" w:type="dxa"/>
            </w:tcMar>
            <w:hideMark/>
          </w:tcPr>
          <w:p w14:paraId="49CC100C" w14:textId="77777777" w:rsidR="00622DF9" w:rsidRPr="00AC5934" w:rsidRDefault="00622DF9" w:rsidP="007B0E6E">
            <w:pPr>
              <w:spacing w:after="0" w:line="240" w:lineRule="auto"/>
              <w:jc w:val="both"/>
              <w:rPr>
                <w:rFonts w:ascii="Calibri" w:eastAsia="Times New Roman" w:hAnsi="Calibri" w:cs="Calibri"/>
                <w:lang w:eastAsia="fr-FR"/>
              </w:rPr>
            </w:pPr>
          </w:p>
        </w:tc>
        <w:tc>
          <w:tcPr>
            <w:tcW w:w="9616" w:type="dxa"/>
            <w:tcMar>
              <w:top w:w="0" w:type="dxa"/>
              <w:left w:w="108" w:type="dxa"/>
              <w:bottom w:w="0" w:type="dxa"/>
              <w:right w:w="108" w:type="dxa"/>
            </w:tcMar>
            <w:hideMark/>
          </w:tcPr>
          <w:p w14:paraId="34908915" w14:textId="77777777" w:rsidR="00622DF9" w:rsidRPr="00AC5934" w:rsidRDefault="00622DF9" w:rsidP="007B0E6E">
            <w:pPr>
              <w:spacing w:after="0" w:line="240" w:lineRule="auto"/>
              <w:jc w:val="both"/>
              <w:rPr>
                <w:rFonts w:ascii="Calibri" w:eastAsia="Times New Roman" w:hAnsi="Calibri" w:cs="Calibri"/>
                <w:lang w:eastAsia="fr-FR"/>
              </w:rPr>
            </w:pPr>
          </w:p>
        </w:tc>
      </w:tr>
    </w:tbl>
    <w:p w14:paraId="7EE23E5C" w14:textId="77777777" w:rsidR="00622DF9" w:rsidRPr="00C75C07" w:rsidRDefault="00622DF9" w:rsidP="00622DF9">
      <w:pPr>
        <w:pStyle w:val="Paragraphedeliste"/>
        <w:numPr>
          <w:ilvl w:val="0"/>
          <w:numId w:val="1"/>
        </w:numPr>
        <w:shd w:val="clear" w:color="auto" w:fill="FFFFFF"/>
        <w:tabs>
          <w:tab w:val="clear" w:pos="360"/>
        </w:tabs>
        <w:spacing w:after="0" w:line="240" w:lineRule="auto"/>
        <w:jc w:val="both"/>
        <w:textAlignment w:val="baseline"/>
        <w:rPr>
          <w:rFonts w:ascii="Calibri" w:eastAsia="Times New Roman" w:hAnsi="Calibri" w:cs="Calibri"/>
          <w:color w:val="242424"/>
          <w:lang w:eastAsia="fr-FR"/>
        </w:rPr>
      </w:pPr>
      <w:r w:rsidRPr="00AC5934">
        <w:rPr>
          <w:rFonts w:ascii="Calibri" w:eastAsia="Times New Roman" w:hAnsi="Calibri" w:cs="Calibri"/>
          <w:color w:val="242424"/>
          <w:bdr w:val="none" w:sz="0" w:space="0" w:color="auto" w:frame="1"/>
          <w:lang w:eastAsia="fr-FR"/>
        </w:rPr>
        <w:t>Peut-on envisager de déplacer la citerne incendie située au sud de l’ISDND (cf. vue aérienne ci-dessous) ? </w:t>
      </w:r>
    </w:p>
    <w:p w14:paraId="487F55B1" w14:textId="77777777" w:rsidR="00622DF9" w:rsidRPr="00C75C07" w:rsidRDefault="00622DF9" w:rsidP="00622DF9">
      <w:pPr>
        <w:shd w:val="clear" w:color="auto" w:fill="FFFFFF"/>
        <w:spacing w:after="0" w:line="240" w:lineRule="auto"/>
        <w:jc w:val="both"/>
        <w:textAlignment w:val="baseline"/>
        <w:rPr>
          <w:rFonts w:ascii="Calibri" w:eastAsia="Times New Roman" w:hAnsi="Calibri" w:cs="Calibri"/>
          <w:color w:val="242424"/>
          <w:lang w:eastAsia="fr-FR"/>
        </w:rPr>
      </w:pPr>
      <w:r w:rsidRPr="00C75C07">
        <w:rPr>
          <w:rFonts w:eastAsia="Times New Roman" w:cstheme="minorHAnsi"/>
          <w:b/>
          <w:bCs/>
          <w:color w:val="ED7D31" w:themeColor="accent2"/>
          <w:bdr w:val="none" w:sz="0" w:space="0" w:color="auto" w:frame="1"/>
          <w:lang w:eastAsia="fr-FR"/>
        </w:rPr>
        <w:t>L’emplacement a été vu et défini avec le SDIS. Il semble peu probable que ce dernier souhaite la déplacer.</w:t>
      </w:r>
    </w:p>
    <w:p w14:paraId="58075452" w14:textId="77777777" w:rsidR="00622DF9" w:rsidRPr="00AC5934" w:rsidRDefault="00622DF9" w:rsidP="00622DF9">
      <w:pPr>
        <w:pStyle w:val="Paragraphedeliste"/>
        <w:shd w:val="clear" w:color="auto" w:fill="FFFFFF"/>
        <w:spacing w:after="0" w:line="240" w:lineRule="auto"/>
        <w:jc w:val="both"/>
        <w:textAlignment w:val="baseline"/>
        <w:rPr>
          <w:rFonts w:ascii="Calibri" w:eastAsia="Times New Roman" w:hAnsi="Calibri" w:cs="Calibri"/>
          <w:color w:val="242424"/>
          <w:lang w:eastAsia="fr-FR"/>
        </w:rPr>
      </w:pPr>
    </w:p>
    <w:p w14:paraId="2C3AB2A5" w14:textId="592657C3" w:rsidR="00622DF9" w:rsidRPr="00C75C07" w:rsidRDefault="00622DF9" w:rsidP="00B67F7F">
      <w:pPr>
        <w:pStyle w:val="Paragraphedeliste"/>
        <w:numPr>
          <w:ilvl w:val="0"/>
          <w:numId w:val="1"/>
        </w:numPr>
        <w:shd w:val="clear" w:color="auto" w:fill="FFFFFF"/>
        <w:tabs>
          <w:tab w:val="clear" w:pos="360"/>
        </w:tabs>
        <w:spacing w:after="0" w:line="240" w:lineRule="auto"/>
        <w:jc w:val="both"/>
        <w:textAlignment w:val="baseline"/>
        <w:rPr>
          <w:rFonts w:ascii="Calibri" w:eastAsia="Times New Roman" w:hAnsi="Calibri" w:cs="Calibri"/>
          <w:color w:val="242424"/>
          <w:lang w:eastAsia="fr-FR"/>
        </w:rPr>
      </w:pPr>
      <w:r w:rsidRPr="00AC5934">
        <w:rPr>
          <w:rFonts w:ascii="Calibri" w:eastAsia="Times New Roman" w:hAnsi="Calibri" w:cs="Calibri"/>
          <w:color w:val="242424"/>
          <w:bdr w:val="none" w:sz="0" w:space="0" w:color="auto" w:frame="1"/>
          <w:lang w:eastAsia="fr-FR"/>
        </w:rPr>
        <w:t xml:space="preserve">La zone située au Sud-Est de l’ISDND en talus </w:t>
      </w:r>
      <w:proofErr w:type="spellStart"/>
      <w:r w:rsidRPr="00AC5934">
        <w:rPr>
          <w:rFonts w:ascii="Calibri" w:eastAsia="Times New Roman" w:hAnsi="Calibri" w:cs="Calibri"/>
          <w:color w:val="242424"/>
          <w:bdr w:val="none" w:sz="0" w:space="0" w:color="auto" w:frame="1"/>
          <w:lang w:eastAsia="fr-FR"/>
        </w:rPr>
        <w:t>fait-elle</w:t>
      </w:r>
      <w:proofErr w:type="spellEnd"/>
      <w:r>
        <w:rPr>
          <w:rFonts w:ascii="Calibri" w:eastAsia="Times New Roman" w:hAnsi="Calibri" w:cs="Calibri"/>
          <w:color w:val="242424"/>
          <w:bdr w:val="none" w:sz="0" w:space="0" w:color="auto" w:frame="1"/>
          <w:lang w:eastAsia="fr-FR"/>
        </w:rPr>
        <w:t xml:space="preserve">, </w:t>
      </w:r>
      <w:r w:rsidRPr="00AC5934">
        <w:rPr>
          <w:rFonts w:ascii="Calibri" w:eastAsia="Times New Roman" w:hAnsi="Calibri" w:cs="Calibri"/>
          <w:color w:val="242424"/>
          <w:bdr w:val="none" w:sz="0" w:space="0" w:color="auto" w:frame="1"/>
          <w:lang w:eastAsia="fr-FR"/>
        </w:rPr>
        <w:t xml:space="preserve">a-t-elle fait l’objet de stockage de déchets ? Peut-on envisager de la terrasser </w:t>
      </w:r>
      <w:r>
        <w:rPr>
          <w:rFonts w:ascii="Calibri" w:eastAsia="Times New Roman" w:hAnsi="Calibri" w:cs="Calibri"/>
          <w:color w:val="242424"/>
          <w:bdr w:val="none" w:sz="0" w:space="0" w:color="auto" w:frame="1"/>
          <w:lang w:eastAsia="fr-FR"/>
        </w:rPr>
        <w:t>(cf. vue aérienne ci-dessous) ?</w:t>
      </w:r>
    </w:p>
    <w:p w14:paraId="62E42A26" w14:textId="77777777" w:rsidR="00622DF9" w:rsidRDefault="00622DF9" w:rsidP="00622DF9">
      <w:pPr>
        <w:shd w:val="clear" w:color="auto" w:fill="FFFFFF"/>
        <w:spacing w:after="0" w:line="240" w:lineRule="auto"/>
        <w:jc w:val="both"/>
        <w:textAlignment w:val="baseline"/>
        <w:rPr>
          <w:rFonts w:ascii="Calibri" w:eastAsia="Times New Roman" w:hAnsi="Calibri" w:cs="Calibri"/>
          <w:color w:val="242424"/>
          <w:lang w:eastAsia="fr-FR"/>
        </w:rPr>
      </w:pPr>
      <w:r>
        <w:rPr>
          <w:rFonts w:ascii="Calibri" w:eastAsia="Times New Roman" w:hAnsi="Calibri" w:cs="Calibri"/>
          <w:noProof/>
          <w:color w:val="242424"/>
          <w:lang w:eastAsia="fr-FR"/>
        </w:rPr>
        <w:drawing>
          <wp:inline distT="0" distB="0" distL="0" distR="0" wp14:anchorId="0166C92D" wp14:editId="5F407972">
            <wp:extent cx="5760720" cy="2905760"/>
            <wp:effectExtent l="0" t="0" r="0" b="8890"/>
            <wp:docPr id="1" name="Image 1" descr="Une image contenant sol, plein air, sale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sol, plein air, saleté&#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5760720" cy="2905760"/>
                    </a:xfrm>
                    <a:prstGeom prst="rect">
                      <a:avLst/>
                    </a:prstGeom>
                  </pic:spPr>
                </pic:pic>
              </a:graphicData>
            </a:graphic>
          </wp:inline>
        </w:drawing>
      </w:r>
    </w:p>
    <w:p w14:paraId="6631D536" w14:textId="77777777" w:rsidR="00622DF9" w:rsidRPr="00C75C07" w:rsidRDefault="00622DF9" w:rsidP="00622DF9">
      <w:pPr>
        <w:shd w:val="clear" w:color="auto" w:fill="FFFFFF"/>
        <w:spacing w:after="0" w:line="240" w:lineRule="auto"/>
        <w:jc w:val="both"/>
        <w:textAlignment w:val="baseline"/>
        <w:rPr>
          <w:rFonts w:ascii="Calibri" w:eastAsia="Times New Roman" w:hAnsi="Calibri" w:cs="Calibri"/>
          <w:color w:val="242424"/>
          <w:lang w:eastAsia="fr-FR"/>
        </w:rPr>
      </w:pPr>
    </w:p>
    <w:p w14:paraId="20CD578E" w14:textId="60741CB9" w:rsidR="00622DF9" w:rsidRPr="00C75C07" w:rsidRDefault="00622DF9" w:rsidP="00622DF9">
      <w:pPr>
        <w:shd w:val="clear" w:color="auto" w:fill="FFFFFF"/>
        <w:spacing w:after="0" w:line="240" w:lineRule="auto"/>
        <w:jc w:val="both"/>
        <w:textAlignment w:val="baseline"/>
        <w:rPr>
          <w:rFonts w:ascii="Calibri" w:eastAsia="Times New Roman" w:hAnsi="Calibri" w:cs="Calibri"/>
          <w:color w:val="242424"/>
          <w:lang w:eastAsia="fr-FR"/>
        </w:rPr>
      </w:pPr>
      <w:r>
        <w:rPr>
          <w:rFonts w:eastAsia="Times New Roman" w:cstheme="minorHAnsi"/>
          <w:b/>
          <w:bCs/>
          <w:color w:val="ED7D31" w:themeColor="accent2"/>
          <w:bdr w:val="none" w:sz="0" w:space="0" w:color="auto" w:frame="1"/>
          <w:lang w:eastAsia="fr-FR"/>
        </w:rPr>
        <w:t>Les p</w:t>
      </w:r>
      <w:r w:rsidRPr="00C75C07">
        <w:rPr>
          <w:rFonts w:eastAsia="Times New Roman" w:cstheme="minorHAnsi"/>
          <w:b/>
          <w:bCs/>
          <w:color w:val="ED7D31" w:themeColor="accent2"/>
          <w:bdr w:val="none" w:sz="0" w:space="0" w:color="auto" w:frame="1"/>
          <w:lang w:eastAsia="fr-FR"/>
        </w:rPr>
        <w:t xml:space="preserve">hotos aériennes </w:t>
      </w:r>
      <w:r>
        <w:rPr>
          <w:rFonts w:eastAsia="Times New Roman" w:cstheme="minorHAnsi"/>
          <w:b/>
          <w:bCs/>
          <w:color w:val="ED7D31" w:themeColor="accent2"/>
          <w:bdr w:val="none" w:sz="0" w:space="0" w:color="auto" w:frame="1"/>
          <w:lang w:eastAsia="fr-FR"/>
        </w:rPr>
        <w:t>ci-dessus sont anciennes</w:t>
      </w:r>
      <w:r w:rsidRPr="00C75C07">
        <w:rPr>
          <w:rFonts w:eastAsia="Times New Roman" w:cstheme="minorHAnsi"/>
          <w:b/>
          <w:bCs/>
          <w:color w:val="ED7D31" w:themeColor="accent2"/>
          <w:bdr w:val="none" w:sz="0" w:space="0" w:color="auto" w:frame="1"/>
          <w:lang w:eastAsia="fr-FR"/>
        </w:rPr>
        <w:t>, aujourd’hui à l'extrême sud-est il y a un bassin.</w:t>
      </w:r>
      <w:r>
        <w:rPr>
          <w:rFonts w:eastAsia="Times New Roman" w:cstheme="minorHAnsi"/>
          <w:b/>
          <w:bCs/>
          <w:color w:val="ED7D31" w:themeColor="accent2"/>
          <w:bdr w:val="none" w:sz="0" w:space="0" w:color="auto" w:frame="1"/>
          <w:lang w:eastAsia="fr-FR"/>
        </w:rPr>
        <w:t xml:space="preserve"> Désormais</w:t>
      </w:r>
      <w:r w:rsidRPr="00C75C07">
        <w:rPr>
          <w:rFonts w:eastAsia="Times New Roman" w:cstheme="minorHAnsi"/>
          <w:b/>
          <w:bCs/>
          <w:color w:val="ED7D31" w:themeColor="accent2"/>
          <w:bdr w:val="none" w:sz="0" w:space="0" w:color="auto" w:frame="1"/>
          <w:lang w:eastAsia="fr-FR"/>
        </w:rPr>
        <w:t xml:space="preserve"> les talus en dessous sont des zones qui sont </w:t>
      </w:r>
      <w:r>
        <w:rPr>
          <w:rFonts w:eastAsia="Times New Roman" w:cstheme="minorHAnsi"/>
          <w:b/>
          <w:bCs/>
          <w:color w:val="ED7D31" w:themeColor="accent2"/>
          <w:bdr w:val="none" w:sz="0" w:space="0" w:color="auto" w:frame="1"/>
          <w:lang w:eastAsia="fr-FR"/>
        </w:rPr>
        <w:t xml:space="preserve">inclues dans </w:t>
      </w:r>
      <w:r w:rsidRPr="00C75C07">
        <w:rPr>
          <w:rFonts w:eastAsia="Times New Roman" w:cstheme="minorHAnsi"/>
          <w:b/>
          <w:bCs/>
          <w:color w:val="ED7D31" w:themeColor="accent2"/>
          <w:bdr w:val="none" w:sz="0" w:space="0" w:color="auto" w:frame="1"/>
          <w:lang w:eastAsia="fr-FR"/>
        </w:rPr>
        <w:t>la zone d'exploitation et qui sont recouvertes de déchets.</w:t>
      </w:r>
    </w:p>
    <w:p w14:paraId="45E9CC4D" w14:textId="77777777" w:rsidR="00622DF9" w:rsidRPr="00AC5934" w:rsidRDefault="00622DF9" w:rsidP="00622DF9">
      <w:pPr>
        <w:shd w:val="clear" w:color="auto" w:fill="FFFFFF"/>
        <w:spacing w:after="0" w:line="240" w:lineRule="auto"/>
        <w:jc w:val="both"/>
        <w:textAlignment w:val="baseline"/>
        <w:rPr>
          <w:rFonts w:ascii="Calibri" w:eastAsia="Times New Roman" w:hAnsi="Calibri" w:cs="Calibri"/>
          <w:color w:val="242424"/>
          <w:lang w:eastAsia="fr-FR"/>
        </w:rPr>
      </w:pPr>
      <w:r w:rsidRPr="00AC5934">
        <w:rPr>
          <w:rFonts w:ascii="Calibri" w:eastAsia="Times New Roman" w:hAnsi="Calibri" w:cs="Calibri"/>
          <w:color w:val="242424"/>
          <w:lang w:eastAsia="fr-FR"/>
        </w:rPr>
        <w:t> </w:t>
      </w:r>
    </w:p>
    <w:p w14:paraId="354F8DAD" w14:textId="20EB3CF9" w:rsidR="00622DF9" w:rsidRPr="00AC5934" w:rsidRDefault="00622DF9" w:rsidP="00B67F7F">
      <w:pPr>
        <w:pStyle w:val="Paragraphedeliste"/>
        <w:numPr>
          <w:ilvl w:val="0"/>
          <w:numId w:val="1"/>
        </w:numPr>
        <w:shd w:val="clear" w:color="auto" w:fill="FFFFFF"/>
        <w:tabs>
          <w:tab w:val="clear" w:pos="360"/>
        </w:tabs>
        <w:spacing w:after="0" w:line="240" w:lineRule="auto"/>
        <w:textAlignment w:val="baseline"/>
        <w:rPr>
          <w:rFonts w:ascii="Calibri" w:eastAsia="Times New Roman" w:hAnsi="Calibri" w:cs="Calibri"/>
          <w:color w:val="242424"/>
          <w:lang w:eastAsia="fr-FR"/>
        </w:rPr>
      </w:pPr>
      <w:r w:rsidRPr="00AC5934">
        <w:rPr>
          <w:rFonts w:ascii="Calibri" w:eastAsia="Times New Roman" w:hAnsi="Calibri" w:cs="Calibri"/>
          <w:color w:val="242424"/>
          <w:bdr w:val="none" w:sz="0" w:space="0" w:color="auto" w:frame="1"/>
          <w:lang w:eastAsia="fr-FR"/>
        </w:rPr>
        <w:t>S'agissant de la garantie visée à l'article 1.6 (page 7) du cahier des charges de l'appel à projet, le candidat peut-il fournir un cautionnement émis par sa maison-mère au lieu d'une garanti</w:t>
      </w:r>
      <w:r>
        <w:rPr>
          <w:rFonts w:ascii="Calibri" w:eastAsia="Times New Roman" w:hAnsi="Calibri" w:cs="Calibri"/>
          <w:color w:val="242424"/>
          <w:bdr w:val="none" w:sz="0" w:space="0" w:color="auto" w:frame="1"/>
          <w:lang w:eastAsia="fr-FR"/>
        </w:rPr>
        <w:t xml:space="preserve">e bancaire à première </w:t>
      </w:r>
      <w:r>
        <w:rPr>
          <w:rFonts w:ascii="Calibri" w:eastAsia="Times New Roman" w:hAnsi="Calibri" w:cs="Calibri"/>
          <w:color w:val="242424"/>
          <w:bdr w:val="none" w:sz="0" w:space="0" w:color="auto" w:frame="1"/>
          <w:lang w:eastAsia="fr-FR"/>
        </w:rPr>
        <w:t>demande ?</w:t>
      </w:r>
      <w:r>
        <w:rPr>
          <w:rFonts w:ascii="Calibri" w:eastAsia="Times New Roman" w:hAnsi="Calibri" w:cs="Calibri"/>
          <w:color w:val="242424"/>
          <w:bdr w:val="none" w:sz="0" w:space="0" w:color="auto" w:frame="1"/>
          <w:lang w:eastAsia="fr-FR"/>
        </w:rPr>
        <w:t xml:space="preserve"> </w:t>
      </w:r>
    </w:p>
    <w:p w14:paraId="47FAF3C6" w14:textId="77777777" w:rsidR="00622DF9" w:rsidRPr="00C75C07" w:rsidRDefault="00622DF9" w:rsidP="00622DF9">
      <w:pPr>
        <w:shd w:val="clear" w:color="auto" w:fill="FFFFFF"/>
        <w:spacing w:after="0" w:line="240" w:lineRule="auto"/>
        <w:jc w:val="both"/>
        <w:textAlignment w:val="baseline"/>
        <w:rPr>
          <w:rFonts w:eastAsia="Times New Roman" w:cstheme="minorHAnsi"/>
          <w:b/>
          <w:bCs/>
          <w:color w:val="ED7D31" w:themeColor="accent2"/>
          <w:bdr w:val="none" w:sz="0" w:space="0" w:color="auto" w:frame="1"/>
          <w:lang w:eastAsia="fr-FR"/>
        </w:rPr>
      </w:pPr>
      <w:r>
        <w:rPr>
          <w:rFonts w:eastAsia="Times New Roman" w:cstheme="minorHAnsi"/>
          <w:b/>
          <w:bCs/>
          <w:color w:val="ED7D31" w:themeColor="accent2"/>
          <w:bdr w:val="none" w:sz="0" w:space="0" w:color="auto" w:frame="1"/>
          <w:lang w:eastAsia="fr-FR"/>
        </w:rPr>
        <w:t xml:space="preserve"> Le cahier des charges </w:t>
      </w:r>
      <w:r w:rsidRPr="00C75C07">
        <w:rPr>
          <w:rFonts w:eastAsia="Times New Roman" w:cstheme="minorHAnsi"/>
          <w:b/>
          <w:bCs/>
          <w:color w:val="ED7D31" w:themeColor="accent2"/>
          <w:bdr w:val="none" w:sz="0" w:space="0" w:color="auto" w:frame="1"/>
          <w:lang w:eastAsia="fr-FR"/>
        </w:rPr>
        <w:t>est clair : "par un établissement bancaire agréé"</w:t>
      </w:r>
    </w:p>
    <w:p w14:paraId="70C90D2F" w14:textId="77777777" w:rsidR="00622DF9" w:rsidRPr="00782D3A" w:rsidRDefault="00622DF9" w:rsidP="00622DF9">
      <w:pPr>
        <w:pStyle w:val="xcontentpasted0"/>
        <w:shd w:val="clear" w:color="auto" w:fill="FFFFFF"/>
        <w:spacing w:before="0" w:beforeAutospacing="0" w:after="0" w:afterAutospacing="0" w:line="360" w:lineRule="auto"/>
        <w:jc w:val="both"/>
        <w:rPr>
          <w:rFonts w:ascii="Calibri" w:hAnsi="Calibri" w:cs="Calibri"/>
          <w:color w:val="424242"/>
          <w:sz w:val="22"/>
          <w:szCs w:val="22"/>
        </w:rPr>
      </w:pPr>
    </w:p>
    <w:sectPr w:rsidR="00622DF9" w:rsidRPr="00782D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A6F02"/>
    <w:multiLevelType w:val="hybridMultilevel"/>
    <w:tmpl w:val="E280F6E4"/>
    <w:lvl w:ilvl="0" w:tplc="283ABC80">
      <w:start w:val="1"/>
      <w:numFmt w:val="decimal"/>
      <w:lvlText w:val="%1)"/>
      <w:lvlJc w:val="left"/>
      <w:pPr>
        <w:ind w:left="720" w:hanging="360"/>
      </w:pPr>
      <w:rPr>
        <w:rFonts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95F7650"/>
    <w:multiLevelType w:val="hybridMultilevel"/>
    <w:tmpl w:val="56A0B21E"/>
    <w:lvl w:ilvl="0" w:tplc="283ABC80">
      <w:start w:val="1"/>
      <w:numFmt w:val="decimal"/>
      <w:lvlText w:val="%1)"/>
      <w:lvlJc w:val="left"/>
      <w:pPr>
        <w:ind w:left="720" w:hanging="360"/>
      </w:pPr>
      <w:rPr>
        <w:rFonts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DCA0809"/>
    <w:multiLevelType w:val="multilevel"/>
    <w:tmpl w:val="07DA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A215DC"/>
    <w:multiLevelType w:val="multilevel"/>
    <w:tmpl w:val="27D2079A"/>
    <w:lvl w:ilvl="0">
      <w:start w:val="1"/>
      <w:numFmt w:val="decimal"/>
      <w:lvlText w:val="%1)"/>
      <w:lvlJc w:val="left"/>
      <w:pPr>
        <w:tabs>
          <w:tab w:val="num" w:pos="360"/>
        </w:tabs>
        <w:ind w:left="360" w:hanging="360"/>
      </w:pPr>
      <w:rPr>
        <w:rFonts w:hint="default"/>
        <w:b w:val="0"/>
        <w:bCs w:val="0"/>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66412D"/>
    <w:multiLevelType w:val="hybridMultilevel"/>
    <w:tmpl w:val="8014259C"/>
    <w:lvl w:ilvl="0" w:tplc="283ABC80">
      <w:start w:val="1"/>
      <w:numFmt w:val="decimal"/>
      <w:lvlText w:val="%1)"/>
      <w:lvlJc w:val="left"/>
      <w:pPr>
        <w:ind w:left="502" w:hanging="360"/>
      </w:pPr>
      <w:rPr>
        <w:rFonts w:hint="default"/>
        <w:b w:val="0"/>
        <w:bCs w:val="0"/>
        <w:color w:val="auto"/>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33F87F0F"/>
    <w:multiLevelType w:val="hybridMultilevel"/>
    <w:tmpl w:val="78E2DEAE"/>
    <w:lvl w:ilvl="0" w:tplc="283ABC80">
      <w:start w:val="1"/>
      <w:numFmt w:val="decimal"/>
      <w:lvlText w:val="%1)"/>
      <w:lvlJc w:val="left"/>
      <w:pPr>
        <w:ind w:left="720" w:hanging="360"/>
      </w:pPr>
      <w:rPr>
        <w:rFonts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C344706"/>
    <w:multiLevelType w:val="hybridMultilevel"/>
    <w:tmpl w:val="EBD296C6"/>
    <w:lvl w:ilvl="0" w:tplc="283ABC80">
      <w:start w:val="1"/>
      <w:numFmt w:val="decimal"/>
      <w:lvlText w:val="%1)"/>
      <w:lvlJc w:val="left"/>
      <w:pPr>
        <w:ind w:left="360" w:hanging="360"/>
      </w:pPr>
      <w:rPr>
        <w:rFonts w:hint="default"/>
        <w:b w:val="0"/>
        <w:bCs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49133187"/>
    <w:multiLevelType w:val="hybridMultilevel"/>
    <w:tmpl w:val="840C3076"/>
    <w:lvl w:ilvl="0" w:tplc="283ABC80">
      <w:start w:val="1"/>
      <w:numFmt w:val="decimal"/>
      <w:lvlText w:val="%1)"/>
      <w:lvlJc w:val="left"/>
      <w:pPr>
        <w:ind w:left="720" w:hanging="360"/>
      </w:pPr>
      <w:rPr>
        <w:rFonts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AD46144"/>
    <w:multiLevelType w:val="multilevel"/>
    <w:tmpl w:val="8958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532FB6"/>
    <w:multiLevelType w:val="multilevel"/>
    <w:tmpl w:val="BA0E4FBE"/>
    <w:lvl w:ilvl="0">
      <w:start w:val="1"/>
      <w:numFmt w:val="decimal"/>
      <w:lvlText w:val="%1)"/>
      <w:lvlJc w:val="left"/>
      <w:pPr>
        <w:tabs>
          <w:tab w:val="num" w:pos="360"/>
        </w:tabs>
        <w:ind w:left="360" w:hanging="360"/>
      </w:pPr>
      <w:rPr>
        <w:rFonts w:hint="default"/>
        <w:b w:val="0"/>
        <w:bCs w:val="0"/>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2"/>
  </w:num>
  <w:num w:numId="4">
    <w:abstractNumId w:val="4"/>
  </w:num>
  <w:num w:numId="5">
    <w:abstractNumId w:val="1"/>
  </w:num>
  <w:num w:numId="6">
    <w:abstractNumId w:val="6"/>
  </w:num>
  <w:num w:numId="7">
    <w:abstractNumId w:val="0"/>
  </w:num>
  <w:num w:numId="8">
    <w:abstractNumId w:val="5"/>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454"/>
    <w:rsid w:val="001629B1"/>
    <w:rsid w:val="001A21B8"/>
    <w:rsid w:val="00461C89"/>
    <w:rsid w:val="004A2310"/>
    <w:rsid w:val="004B4394"/>
    <w:rsid w:val="00507AC5"/>
    <w:rsid w:val="005C506C"/>
    <w:rsid w:val="005F3271"/>
    <w:rsid w:val="00622DF9"/>
    <w:rsid w:val="00782D3A"/>
    <w:rsid w:val="007C2116"/>
    <w:rsid w:val="007D73ED"/>
    <w:rsid w:val="0087224D"/>
    <w:rsid w:val="008A7C15"/>
    <w:rsid w:val="009D5DAC"/>
    <w:rsid w:val="00A02CA6"/>
    <w:rsid w:val="00A07A8C"/>
    <w:rsid w:val="00A34454"/>
    <w:rsid w:val="00AD7B96"/>
    <w:rsid w:val="00B67F7F"/>
    <w:rsid w:val="00B768D9"/>
    <w:rsid w:val="00BC476A"/>
    <w:rsid w:val="00C241F4"/>
    <w:rsid w:val="00C63289"/>
    <w:rsid w:val="00CE0180"/>
    <w:rsid w:val="00D1238F"/>
    <w:rsid w:val="00D23E6A"/>
    <w:rsid w:val="00D93B24"/>
    <w:rsid w:val="00E17328"/>
    <w:rsid w:val="00E86EB4"/>
    <w:rsid w:val="00FD6D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09CB8"/>
  <w15:chartTrackingRefBased/>
  <w15:docId w15:val="{FCCF82F2-B031-427B-8FFD-0D21CA1A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xmsonormal">
    <w:name w:val="x_msonormal"/>
    <w:basedOn w:val="Normal"/>
    <w:rsid w:val="00507A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msolistparagraph">
    <w:name w:val="x_msolistparagraph"/>
    <w:basedOn w:val="Normal"/>
    <w:rsid w:val="00507A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xmsolistparagraph">
    <w:name w:val="x_x_msolistparagraph"/>
    <w:basedOn w:val="Normal"/>
    <w:rsid w:val="00A02CA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xmsonormal">
    <w:name w:val="x_x_msonormal"/>
    <w:basedOn w:val="Normal"/>
    <w:rsid w:val="00A02CA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BC476A"/>
    <w:pPr>
      <w:ind w:left="720"/>
      <w:contextualSpacing/>
    </w:pPr>
  </w:style>
  <w:style w:type="paragraph" w:customStyle="1" w:styleId="xcontentpasted0">
    <w:name w:val="x_contentpasted0"/>
    <w:basedOn w:val="Normal"/>
    <w:rsid w:val="00782D3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278595">
      <w:bodyDiv w:val="1"/>
      <w:marLeft w:val="0"/>
      <w:marRight w:val="0"/>
      <w:marTop w:val="0"/>
      <w:marBottom w:val="0"/>
      <w:divBdr>
        <w:top w:val="none" w:sz="0" w:space="0" w:color="auto"/>
        <w:left w:val="none" w:sz="0" w:space="0" w:color="auto"/>
        <w:bottom w:val="none" w:sz="0" w:space="0" w:color="auto"/>
        <w:right w:val="none" w:sz="0" w:space="0" w:color="auto"/>
      </w:divBdr>
      <w:divsChild>
        <w:div w:id="686635899">
          <w:marLeft w:val="0"/>
          <w:marRight w:val="0"/>
          <w:marTop w:val="0"/>
          <w:marBottom w:val="0"/>
          <w:divBdr>
            <w:top w:val="none" w:sz="0" w:space="0" w:color="auto"/>
            <w:left w:val="none" w:sz="0" w:space="0" w:color="auto"/>
            <w:bottom w:val="none" w:sz="0" w:space="0" w:color="auto"/>
            <w:right w:val="none" w:sz="0" w:space="0" w:color="auto"/>
          </w:divBdr>
        </w:div>
        <w:div w:id="59866570">
          <w:marLeft w:val="0"/>
          <w:marRight w:val="0"/>
          <w:marTop w:val="0"/>
          <w:marBottom w:val="0"/>
          <w:divBdr>
            <w:top w:val="none" w:sz="0" w:space="0" w:color="auto"/>
            <w:left w:val="none" w:sz="0" w:space="0" w:color="auto"/>
            <w:bottom w:val="none" w:sz="0" w:space="0" w:color="auto"/>
            <w:right w:val="none" w:sz="0" w:space="0" w:color="auto"/>
          </w:divBdr>
        </w:div>
        <w:div w:id="1817650315">
          <w:marLeft w:val="0"/>
          <w:marRight w:val="0"/>
          <w:marTop w:val="0"/>
          <w:marBottom w:val="0"/>
          <w:divBdr>
            <w:top w:val="none" w:sz="0" w:space="0" w:color="auto"/>
            <w:left w:val="none" w:sz="0" w:space="0" w:color="auto"/>
            <w:bottom w:val="none" w:sz="0" w:space="0" w:color="auto"/>
            <w:right w:val="none" w:sz="0" w:space="0" w:color="auto"/>
          </w:divBdr>
        </w:div>
        <w:div w:id="101153082">
          <w:marLeft w:val="0"/>
          <w:marRight w:val="0"/>
          <w:marTop w:val="0"/>
          <w:marBottom w:val="0"/>
          <w:divBdr>
            <w:top w:val="none" w:sz="0" w:space="0" w:color="auto"/>
            <w:left w:val="none" w:sz="0" w:space="0" w:color="auto"/>
            <w:bottom w:val="none" w:sz="0" w:space="0" w:color="auto"/>
            <w:right w:val="none" w:sz="0" w:space="0" w:color="auto"/>
          </w:divBdr>
        </w:div>
      </w:divsChild>
    </w:div>
    <w:div w:id="1180001475">
      <w:bodyDiv w:val="1"/>
      <w:marLeft w:val="0"/>
      <w:marRight w:val="0"/>
      <w:marTop w:val="0"/>
      <w:marBottom w:val="0"/>
      <w:divBdr>
        <w:top w:val="none" w:sz="0" w:space="0" w:color="auto"/>
        <w:left w:val="none" w:sz="0" w:space="0" w:color="auto"/>
        <w:bottom w:val="none" w:sz="0" w:space="0" w:color="auto"/>
        <w:right w:val="none" w:sz="0" w:space="0" w:color="auto"/>
      </w:divBdr>
    </w:div>
    <w:div w:id="1459299908">
      <w:bodyDiv w:val="1"/>
      <w:marLeft w:val="0"/>
      <w:marRight w:val="0"/>
      <w:marTop w:val="0"/>
      <w:marBottom w:val="0"/>
      <w:divBdr>
        <w:top w:val="none" w:sz="0" w:space="0" w:color="auto"/>
        <w:left w:val="none" w:sz="0" w:space="0" w:color="auto"/>
        <w:bottom w:val="none" w:sz="0" w:space="0" w:color="auto"/>
        <w:right w:val="none" w:sz="0" w:space="0" w:color="auto"/>
      </w:divBdr>
    </w:div>
    <w:div w:id="1827696741">
      <w:bodyDiv w:val="1"/>
      <w:marLeft w:val="0"/>
      <w:marRight w:val="0"/>
      <w:marTop w:val="0"/>
      <w:marBottom w:val="0"/>
      <w:divBdr>
        <w:top w:val="none" w:sz="0" w:space="0" w:color="auto"/>
        <w:left w:val="none" w:sz="0" w:space="0" w:color="auto"/>
        <w:bottom w:val="none" w:sz="0" w:space="0" w:color="auto"/>
        <w:right w:val="none" w:sz="0" w:space="0" w:color="auto"/>
      </w:divBdr>
      <w:divsChild>
        <w:div w:id="549610676">
          <w:marLeft w:val="0"/>
          <w:marRight w:val="0"/>
          <w:marTop w:val="0"/>
          <w:marBottom w:val="0"/>
          <w:divBdr>
            <w:top w:val="none" w:sz="0" w:space="0" w:color="auto"/>
            <w:left w:val="none" w:sz="0" w:space="0" w:color="auto"/>
            <w:bottom w:val="none" w:sz="0" w:space="0" w:color="auto"/>
            <w:right w:val="none" w:sz="0" w:space="0" w:color="auto"/>
          </w:divBdr>
        </w:div>
        <w:div w:id="1619139890">
          <w:marLeft w:val="0"/>
          <w:marRight w:val="0"/>
          <w:marTop w:val="0"/>
          <w:marBottom w:val="0"/>
          <w:divBdr>
            <w:top w:val="none" w:sz="0" w:space="0" w:color="auto"/>
            <w:left w:val="none" w:sz="0" w:space="0" w:color="auto"/>
            <w:bottom w:val="none" w:sz="0" w:space="0" w:color="auto"/>
            <w:right w:val="none" w:sz="0" w:space="0" w:color="auto"/>
          </w:divBdr>
        </w:div>
        <w:div w:id="482894306">
          <w:marLeft w:val="0"/>
          <w:marRight w:val="0"/>
          <w:marTop w:val="0"/>
          <w:marBottom w:val="0"/>
          <w:divBdr>
            <w:top w:val="none" w:sz="0" w:space="0" w:color="auto"/>
            <w:left w:val="none" w:sz="0" w:space="0" w:color="auto"/>
            <w:bottom w:val="none" w:sz="0" w:space="0" w:color="auto"/>
            <w:right w:val="none" w:sz="0" w:space="0" w:color="auto"/>
          </w:divBdr>
        </w:div>
        <w:div w:id="1027373295">
          <w:marLeft w:val="0"/>
          <w:marRight w:val="0"/>
          <w:marTop w:val="0"/>
          <w:marBottom w:val="0"/>
          <w:divBdr>
            <w:top w:val="none" w:sz="0" w:space="0" w:color="auto"/>
            <w:left w:val="none" w:sz="0" w:space="0" w:color="auto"/>
            <w:bottom w:val="none" w:sz="0" w:space="0" w:color="auto"/>
            <w:right w:val="none" w:sz="0" w:space="0" w:color="auto"/>
          </w:divBdr>
        </w:div>
        <w:div w:id="647396868">
          <w:marLeft w:val="0"/>
          <w:marRight w:val="0"/>
          <w:marTop w:val="0"/>
          <w:marBottom w:val="0"/>
          <w:divBdr>
            <w:top w:val="none" w:sz="0" w:space="0" w:color="auto"/>
            <w:left w:val="none" w:sz="0" w:space="0" w:color="auto"/>
            <w:bottom w:val="none" w:sz="0" w:space="0" w:color="auto"/>
            <w:right w:val="none" w:sz="0" w:space="0" w:color="auto"/>
          </w:divBdr>
        </w:div>
        <w:div w:id="536939473">
          <w:marLeft w:val="0"/>
          <w:marRight w:val="0"/>
          <w:marTop w:val="0"/>
          <w:marBottom w:val="0"/>
          <w:divBdr>
            <w:top w:val="none" w:sz="0" w:space="0" w:color="auto"/>
            <w:left w:val="none" w:sz="0" w:space="0" w:color="auto"/>
            <w:bottom w:val="none" w:sz="0" w:space="0" w:color="auto"/>
            <w:right w:val="none" w:sz="0" w:space="0" w:color="auto"/>
          </w:divBdr>
        </w:div>
      </w:divsChild>
    </w:div>
    <w:div w:id="1877699572">
      <w:bodyDiv w:val="1"/>
      <w:marLeft w:val="0"/>
      <w:marRight w:val="0"/>
      <w:marTop w:val="0"/>
      <w:marBottom w:val="0"/>
      <w:divBdr>
        <w:top w:val="none" w:sz="0" w:space="0" w:color="auto"/>
        <w:left w:val="none" w:sz="0" w:space="0" w:color="auto"/>
        <w:bottom w:val="none" w:sz="0" w:space="0" w:color="auto"/>
        <w:right w:val="none" w:sz="0" w:space="0" w:color="auto"/>
      </w:divBdr>
    </w:div>
    <w:div w:id="189125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1882</Words>
  <Characters>10356</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Mairie-Septemes</Company>
  <LinksUpToDate>false</LinksUpToDate>
  <CharactersWithSpaces>12214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REMY Clémence</dc:creator>
  <cp:keywords/>
  <dc:description/>
  <cp:lastModifiedBy>BERGER Julie</cp:lastModifiedBy>
  <cp:revision>7</cp:revision>
  <dcterms:created xsi:type="dcterms:W3CDTF">2023-03-30T15:31:00Z</dcterms:created>
  <dcterms:modified xsi:type="dcterms:W3CDTF">2023-04-14T11:46:00Z</dcterms:modified>
</cp:coreProperties>
</file>